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8FAC8B" w14:textId="75BDA69E" w:rsidR="0027789F" w:rsidRDefault="0027789F" w:rsidP="0027789F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noProof/>
        </w:rPr>
        <w:drawing>
          <wp:inline distT="0" distB="0" distL="0" distR="0" wp14:anchorId="7DD03450" wp14:editId="3773EFA7">
            <wp:extent cx="2755900" cy="866140"/>
            <wp:effectExtent l="0" t="0" r="6350" b="0"/>
            <wp:docPr id="322" name="Picture 322" descr="Text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 322" descr="Texto&#10;&#10;Descrição gerad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C52E7" w14:textId="77777777" w:rsidR="0027789F" w:rsidRDefault="0027789F" w:rsidP="0027789F">
      <w:p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C52CD9E" w14:textId="6D8C546C" w:rsidR="00734021" w:rsidRDefault="00447F6F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PROTOCOLO: _____________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_  MATRÍCULA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>(S): __________________________________________</w:t>
      </w:r>
    </w:p>
    <w:p w14:paraId="7FA6F84B" w14:textId="77777777" w:rsidR="00734021" w:rsidRDefault="00734021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4390438A" w14:textId="77777777" w:rsidR="00734021" w:rsidRDefault="00447F6F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DISSOLUÇÃO DE UNIÃO ESTÁVEL - PARTILHA - ESCRITURA PÚBLICA</w:t>
      </w:r>
    </w:p>
    <w:p w14:paraId="107BED5C" w14:textId="77777777" w:rsidR="00734021" w:rsidRDefault="00734021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8174"/>
        <w:gridCol w:w="610"/>
        <w:gridCol w:w="611"/>
      </w:tblGrid>
      <w:tr w:rsidR="00734021" w14:paraId="18FED574" w14:textId="77777777">
        <w:tc>
          <w:tcPr>
            <w:tcW w:w="459" w:type="dxa"/>
          </w:tcPr>
          <w:p w14:paraId="7D4DAF4B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4" w:type="dxa"/>
          </w:tcPr>
          <w:p w14:paraId="284ADE63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</w:tcPr>
          <w:p w14:paraId="5B424578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611" w:type="dxa"/>
          </w:tcPr>
          <w:p w14:paraId="186FEDB4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Não</w:t>
            </w:r>
          </w:p>
        </w:tc>
      </w:tr>
      <w:tr w:rsidR="00734021" w14:paraId="72432162" w14:textId="77777777">
        <w:tc>
          <w:tcPr>
            <w:tcW w:w="459" w:type="dxa"/>
          </w:tcPr>
          <w:p w14:paraId="034F8C6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gjdgxs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74" w:type="dxa"/>
          </w:tcPr>
          <w:p w14:paraId="1DCAD770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outra prenotação vinculada às matrículas objetos do presente título?</w:t>
            </w:r>
          </w:p>
          <w:p w14:paraId="09B7B31E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conferência da prenotação deve ser realizada pelo campo “visualizar pendências do imóvel”, na aba de matrículas, quando da conferência inicial, do registro e da conferência final.</w:t>
            </w:r>
          </w:p>
          <w:p w14:paraId="675F3EB1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Se a resposta for positiva, devemos verificar se os títulos ou procedimentos prenotados impedem a inscrição do ato requerido ou se, não impedindo, qual deve ser inscrito anteriormente.</w:t>
            </w:r>
          </w:p>
          <w:p w14:paraId="4BF5005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haja divergência entre as matrículas constantes no título e as matrículas prenotadas no sistema, devemos corrigir a prenotação e anotar a correção manuscritamente no protocolo.</w:t>
            </w:r>
          </w:p>
          <w:p w14:paraId="111BD77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11, 12, 174, 182, 186 e 190 da Lei 6.015/1973.</w:t>
            </w:r>
          </w:p>
        </w:tc>
        <w:tc>
          <w:tcPr>
            <w:tcW w:w="610" w:type="dxa"/>
          </w:tcPr>
          <w:p w14:paraId="742698DE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07C38146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10D60AA2" w14:textId="77777777">
        <w:tc>
          <w:tcPr>
            <w:tcW w:w="459" w:type="dxa"/>
          </w:tcPr>
          <w:p w14:paraId="1464AD55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74" w:type="dxa"/>
          </w:tcPr>
          <w:p w14:paraId="755A4BC0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A escritura apresentada é física ou digital?</w:t>
            </w:r>
          </w:p>
          <w:p w14:paraId="2418F598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escritura física, assinada manuscritamente, pode ser apresentada na via original ou em cópia autenticada, por meio do protocolo presencial.</w:t>
            </w:r>
          </w:p>
          <w:p w14:paraId="6C9290F9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658 do Código de Normas da CGJ/SC.</w:t>
            </w:r>
          </w:p>
          <w:p w14:paraId="4DD0889B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 escritura digital deve ser assinada com o uso de certificado de acordo com a Infraestrutura de Chaves Públicas Brasileira (ICP-Brasil) ou por meio do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-Notariado.</w:t>
            </w:r>
          </w:p>
          <w:p w14:paraId="54158EBB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10, parágrafo 2º da Medida Provisória 2.200-2/2001, artigo 12 do Provimento 89/2019 do CNJ e artigos 9º, parágrafo 5º e 29 do Provimento 100/2020 do CNJ.</w:t>
            </w:r>
          </w:p>
        </w:tc>
        <w:tc>
          <w:tcPr>
            <w:tcW w:w="610" w:type="dxa"/>
          </w:tcPr>
          <w:p w14:paraId="5A116F67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69EBA998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64E78356" w14:textId="77777777">
        <w:tc>
          <w:tcPr>
            <w:tcW w:w="459" w:type="dxa"/>
          </w:tcPr>
          <w:p w14:paraId="7E62973B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74" w:type="dxa"/>
          </w:tcPr>
          <w:p w14:paraId="27509CFC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Foi confirmada a procedência, autenticidade e eficácia da escritura apresentada?</w:t>
            </w:r>
          </w:p>
          <w:p w14:paraId="5AA32E69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Caso a escritura tenha sido lavrada por tabelião do Estado de Santa Catarina, devemos realizar a confirmação pelo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site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TJ/SC, no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link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selo digital.</w:t>
            </w:r>
          </w:p>
          <w:p w14:paraId="41385B32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Caso a escritura tenha sido lavrada por tabelião de outro Estado da Federação, devemos imprimir o cadastro da serventia no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site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CNJ e encaminhar, junto com a escritura, para os telefonistas confirmarem.</w:t>
            </w:r>
          </w:p>
          <w:p w14:paraId="2A0F59F8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artigos 490 e 645 do Código de Normas da CGJ/SC. </w:t>
            </w:r>
          </w:p>
        </w:tc>
        <w:tc>
          <w:tcPr>
            <w:tcW w:w="610" w:type="dxa"/>
          </w:tcPr>
          <w:p w14:paraId="29FB398A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25DB30AF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52F8D1F5" w14:textId="77777777">
        <w:tc>
          <w:tcPr>
            <w:tcW w:w="459" w:type="dxa"/>
          </w:tcPr>
          <w:p w14:paraId="20A66B50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74" w:type="dxa"/>
          </w:tcPr>
          <w:p w14:paraId="2B6F9336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no título a qualificação completa dos transmitentes e dos adquirentes?</w:t>
            </w:r>
          </w:p>
          <w:p w14:paraId="726F4C77" w14:textId="77777777" w:rsidR="00444112" w:rsidRPr="00D24F01" w:rsidRDefault="00444112" w:rsidP="0044411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>- Os elementos mínimos para qualificação das pessoas físicas são: nome, nacionalidade, profissão, data de nascimento, estado civil, carteira de identidade, CPF e endereço.</w:t>
            </w:r>
          </w:p>
          <w:p w14:paraId="32D566DE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176, parágrafo 1º, inciso III, item 2, alíneas “a” e “b” da Lei 6.015/1973 e artigo 476 do Código de Normas da CGJ/SC.</w:t>
            </w:r>
          </w:p>
        </w:tc>
        <w:tc>
          <w:tcPr>
            <w:tcW w:w="610" w:type="dxa"/>
          </w:tcPr>
          <w:p w14:paraId="3FD83362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6437FD2F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7DFFFFE2" w14:textId="77777777">
        <w:tc>
          <w:tcPr>
            <w:tcW w:w="459" w:type="dxa"/>
          </w:tcPr>
          <w:p w14:paraId="2E9B94B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74" w:type="dxa"/>
          </w:tcPr>
          <w:p w14:paraId="21A451B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Deve ser efetuada alguma averbação referente à qualificação dos transmitentes e adquirentes (retificação de dados de qualificação,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divórcio, etc.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)?</w:t>
            </w:r>
          </w:p>
          <w:p w14:paraId="37DEFC1F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averbação de dissolução da união estável deve ser realizada antes do registro da partilha, se houver, com base na própria escritura.</w:t>
            </w:r>
          </w:p>
          <w:p w14:paraId="007AFEAB" w14:textId="030DC41E" w:rsidR="00891DFD" w:rsidRPr="00D24F01" w:rsidRDefault="00891DFD" w:rsidP="00891D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>- Caso seja necessário deverá proceder a averbação de qualificação subjetiva previamente, com exceção de títulos de outras natureza</w:t>
            </w:r>
            <w:r w:rsidR="0027789F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que deverão seguir em prenotação própria.</w:t>
            </w:r>
          </w:p>
          <w:p w14:paraId="09888B97" w14:textId="77777777" w:rsidR="00891DFD" w:rsidRPr="00D24F01" w:rsidRDefault="00891DFD" w:rsidP="00891DF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>- A averbação de retificação pode ser realizada com base na própria escritura, quando os dados necessários constarem expressamente.</w:t>
            </w:r>
          </w:p>
          <w:p w14:paraId="565FCC70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167, inciso II e 176, parágrafo 1º, inciso II, item 4, inciso III, item 2 e 213, inciso I, alínea “g” da Lei 6.015/1973 e artigo 688, parágrafo 6º do Código de Normas da CGJ/SC.</w:t>
            </w:r>
          </w:p>
        </w:tc>
        <w:tc>
          <w:tcPr>
            <w:tcW w:w="610" w:type="dxa"/>
          </w:tcPr>
          <w:p w14:paraId="3432CCF4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1BED69C9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2FCD9CF6" w14:textId="77777777">
        <w:tc>
          <w:tcPr>
            <w:tcW w:w="459" w:type="dxa"/>
          </w:tcPr>
          <w:p w14:paraId="6108865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74" w:type="dxa"/>
          </w:tcPr>
          <w:p w14:paraId="1F15F67F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na escritura a nomeação de advogado assistente?</w:t>
            </w:r>
          </w:p>
          <w:p w14:paraId="289E1F89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advogado assistente pode ser procurador de ambas as partes.</w:t>
            </w:r>
          </w:p>
          <w:p w14:paraId="552C837D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Deve constar na escritura, no mínimo, o nome completo e o número da OAB do advogado assistente.</w:t>
            </w:r>
          </w:p>
          <w:p w14:paraId="27BD3F82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8º e 47 da Resolução 35/2007 do CNJ.</w:t>
            </w:r>
          </w:p>
        </w:tc>
        <w:tc>
          <w:tcPr>
            <w:tcW w:w="610" w:type="dxa"/>
          </w:tcPr>
          <w:p w14:paraId="223A23B0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2B77D907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342C8126" w14:textId="77777777">
        <w:tc>
          <w:tcPr>
            <w:tcW w:w="459" w:type="dxa"/>
          </w:tcPr>
          <w:p w14:paraId="7E0B64C7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74" w:type="dxa"/>
          </w:tcPr>
          <w:p w14:paraId="16261736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na escritura a qualificação dos imóveis?</w:t>
            </w:r>
          </w:p>
          <w:p w14:paraId="4E554244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os imóveis já tenham matrículas próprias, pode ser consignado no título somente a localização completa e o número da matrícula, não havendo necessidade da transcrição completa da descrição.</w:t>
            </w:r>
          </w:p>
          <w:p w14:paraId="37DC07C4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2º, parágrafo 1º da Lei 7.433/1985 e artigo 222 da Lei 6.015/1973.</w:t>
            </w:r>
          </w:p>
          <w:p w14:paraId="0F22B49C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Quando se tratar de terreno em que não haja edificação</w:t>
            </w:r>
            <w:r w:rsidR="00891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é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necessário constar o nome do logradouro, a expressão “s/nº”, se o imóvel fica no lado par ou ímpar do logradouro e a distância métrica da esquina ou edificação mais próxima.</w:t>
            </w:r>
          </w:p>
          <w:p w14:paraId="4177864F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176, parágrafo 1º, inciso II, item 3, alíneas “a” e “b” e 225 da Lei 6.015/1973.</w:t>
            </w:r>
          </w:p>
          <w:p w14:paraId="21686309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no título conste indícios da existência de parcelamento de solo clandestino, devemos encaminhar ofício para o Ministério Público, com cópia da documentação apresentada.</w:t>
            </w:r>
          </w:p>
          <w:p w14:paraId="3CAC1E0C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717 do Código de Normas da CGJ/SC.</w:t>
            </w:r>
          </w:p>
          <w:p w14:paraId="32097AAB" w14:textId="77777777" w:rsidR="00734021" w:rsidRDefault="00B575C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Quando a descrição do imóvel for omissa em relação às medidas perimetrais e/ou área total é obrigatória a realização do procedimento de retificação de área (artigos 212 e 213 da Lei nº 6.015/1973).</w:t>
            </w:r>
          </w:p>
        </w:tc>
        <w:tc>
          <w:tcPr>
            <w:tcW w:w="610" w:type="dxa"/>
          </w:tcPr>
          <w:p w14:paraId="30B3B076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78857D80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60BEB1E1" w14:textId="77777777">
        <w:tc>
          <w:tcPr>
            <w:tcW w:w="459" w:type="dxa"/>
          </w:tcPr>
          <w:p w14:paraId="2A636D24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74" w:type="dxa"/>
          </w:tcPr>
          <w:p w14:paraId="435ECBDB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Os imóveis são urbanos?</w:t>
            </w:r>
          </w:p>
          <w:p w14:paraId="26BF58DE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seja rural, deve constar na escritura a Certidão Negativa de Débitos relativos ao Imposto sobre a Propriedade Territorial Rural (ITR), assim como, deve constar na matrícula: (a) os dados do Certificado de Cadastro do Imóvel Rural (CCIR); e (b) a averbação do recibo de inscrição no Cadastro Ambiental Rural – CAR. Caso não conste os dados na matrícula, os referidos documentos devem ser apresentados para averbação.</w:t>
            </w:r>
          </w:p>
          <w:p w14:paraId="15C0FAFE" w14:textId="77777777" w:rsidR="001D40F7" w:rsidRPr="00D24F01" w:rsidRDefault="001D40F7" w:rsidP="001D40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Caso conste na matrícula a informação de que o imóvel é rural, mas atualmente o imóvel não tenha a referida destinação, deverá ser apresentado um ofício de cancelamento do cadastro expedido pelo INCRA. </w:t>
            </w:r>
          </w:p>
          <w:p w14:paraId="27699A8C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176, inciso II, item 3, alínea “a” da Lei 6.015/1973, artigos 12, 18 e 19 da Lei 12.651/2012, artigo 685, inciso XII do Código de Normas da CGJ/SC, artigo 4º, inciso I da Lei 4.504/1964 e artigo 15 do Decreto-Lei 57/1966.</w:t>
            </w:r>
          </w:p>
          <w:p w14:paraId="195AB026" w14:textId="77777777" w:rsidR="00734021" w:rsidRDefault="00447F6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Caso seja rural e esteja sendo adquirido por pessoa estrangeira, física ou jurídica, devemos observar os requisitos da Lei 5.709/1971. </w:t>
            </w:r>
          </w:p>
          <w:p w14:paraId="472459A0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se trate de um imóvel cadastrado como área de marinha: (a) deve constar na escritura a apresentação da Certidão de Autorização de Transferência (CAT), com menção ao número do Registro Imobiliário Patrimonial (RIP); e (b) devemos realizar a Declaração sobre Operações Imobiliárias em Terrenos da União (DOITU).</w:t>
            </w:r>
          </w:p>
          <w:p w14:paraId="588F355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1º e 2º do Decreto-Lei 9.760/1946, artigos 1º e 2º da Lei 9.636/1998 e artigos 3º e 3º-A do Decreto 2.398/1987.</w:t>
            </w:r>
          </w:p>
        </w:tc>
        <w:tc>
          <w:tcPr>
            <w:tcW w:w="610" w:type="dxa"/>
          </w:tcPr>
          <w:p w14:paraId="08FDA811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062551C5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27AAC552" w14:textId="77777777">
        <w:trPr>
          <w:trHeight w:val="780"/>
        </w:trPr>
        <w:tc>
          <w:tcPr>
            <w:tcW w:w="459" w:type="dxa"/>
          </w:tcPr>
          <w:p w14:paraId="0EBAF13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74" w:type="dxa"/>
          </w:tcPr>
          <w:p w14:paraId="34C5653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Deve ser efetuada alguma averbação referente ao imóvel (inscrição imobiliária, construção, logradouro,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CAR, etc.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)?</w:t>
            </w:r>
          </w:p>
          <w:p w14:paraId="13C991DB" w14:textId="140E48DB" w:rsidR="00A939A0" w:rsidRPr="00D24F01" w:rsidRDefault="00A939A0" w:rsidP="00A939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>- Caso seja necessário deverá proceder a averbação de qualificação objetiva previamente, com exceção de títulos de outras natureza</w:t>
            </w:r>
            <w:r w:rsidR="0027789F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que deverão seguir em prenotação própria.</w:t>
            </w:r>
          </w:p>
          <w:p w14:paraId="36ED36FB" w14:textId="77777777" w:rsidR="00A939A0" w:rsidRPr="00D24F01" w:rsidRDefault="00A939A0" w:rsidP="00A939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Algumas averbações (ex.: inscrição imobiliária, </w:t>
            </w:r>
            <w:proofErr w:type="gramStart"/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>logradouro, etc.</w:t>
            </w:r>
            <w:proofErr w:type="gramEnd"/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>) podem ser realizadas com base na própria escritura, quando os dados necessários constarem expressamente.</w:t>
            </w:r>
          </w:p>
          <w:p w14:paraId="45630C68" w14:textId="77777777" w:rsidR="00A939A0" w:rsidRPr="00D24F01" w:rsidRDefault="00A939A0" w:rsidP="00A939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176, parágrafo 1º, inciso II, item 3, alíneas “a” e “b”, 212, 213 e 225, todos da Lei 6.015/1973 e artigo 688, parágrafo 6º do CNCGJ/SC.</w:t>
            </w:r>
          </w:p>
          <w:p w14:paraId="03DFC7BA" w14:textId="77777777" w:rsidR="00B6262C" w:rsidRPr="00D24F01" w:rsidRDefault="00B6262C" w:rsidP="00B6262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Devemos verificar se no título ou na matrícula constam elementos que indiquem a existência de edificação ainda não averbada, visto que a averbação de edificação com </w:t>
            </w:r>
            <w:r w:rsidRPr="00D24F0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habite-se</w:t>
            </w:r>
            <w:r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é condição para registro do título. Solicitar os documentos para regularização da construção que deverá seguir em prenotação própria. </w:t>
            </w:r>
          </w:p>
          <w:p w14:paraId="3AFDEB29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 692-B do Código de Normas da CGJ/SC.  </w:t>
            </w:r>
          </w:p>
        </w:tc>
        <w:tc>
          <w:tcPr>
            <w:tcW w:w="610" w:type="dxa"/>
          </w:tcPr>
          <w:p w14:paraId="3A334D66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5D2D2329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3FC299D5" w14:textId="77777777">
        <w:tc>
          <w:tcPr>
            <w:tcW w:w="459" w:type="dxa"/>
          </w:tcPr>
          <w:p w14:paraId="5D60A411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74" w:type="dxa"/>
          </w:tcPr>
          <w:p w14:paraId="5F8312B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na escritura os valores individualizados dos imóveis?</w:t>
            </w:r>
          </w:p>
          <w:p w14:paraId="4272D27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Os valores declarados devem constar individualizadamente para cada imóvel, mesmo quando se tratar de unidades autônomas de condomínios edilícios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apartamento, vaga de garagem e hobby-box).</w:t>
            </w:r>
          </w:p>
          <w:p w14:paraId="4A004DEF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176, inciso III, item 5 da Lei 6.015/1973 e artigo 802, inciso IX do Código de Normas da CGJ/SC.</w:t>
            </w:r>
          </w:p>
        </w:tc>
        <w:tc>
          <w:tcPr>
            <w:tcW w:w="610" w:type="dxa"/>
          </w:tcPr>
          <w:p w14:paraId="08BAA098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7AAFA7BB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2079C915" w14:textId="77777777">
        <w:tc>
          <w:tcPr>
            <w:tcW w:w="459" w:type="dxa"/>
          </w:tcPr>
          <w:p w14:paraId="2794659C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74" w:type="dxa"/>
          </w:tcPr>
          <w:p w14:paraId="030AD45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Os valores atribuídos pelas partes ou os de avaliação fiscal apresentam dissonância com os valores de mercado dos imóveis?</w:t>
            </w:r>
          </w:p>
          <w:p w14:paraId="51819A39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Se a resposta for positiva, emitir nota de exigência solicitando a declaração de valor de mercado dos imóveis.</w:t>
            </w:r>
          </w:p>
          <w:p w14:paraId="74065D84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Devemos utilizar como parâmetros para a impugnação dos valores: a) transações anteriores constantes da mesma matrícula (com atualização monetária); e b) transações atuais constantes nas matrículas do mesmo empreendimento, relativas às unidades similares.</w:t>
            </w:r>
          </w:p>
          <w:p w14:paraId="333E7582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impugnação deve ser realizada somente quando o valor estiver abaixo de 70% do valor encontrado como parâmetro.</w:t>
            </w:r>
          </w:p>
          <w:p w14:paraId="7E2ECD12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Quando o valor atribuído atingir o teto dos emolumentos e do FRJ, fica dispensada a referida providência.</w:t>
            </w:r>
          </w:p>
          <w:p w14:paraId="647E2B5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artigos 502 a 504 do Código de Normas da CGJ/SC e artigo 6º, parágrafo 3º da Lei Complementar 755/2019.</w:t>
            </w:r>
          </w:p>
        </w:tc>
        <w:tc>
          <w:tcPr>
            <w:tcW w:w="610" w:type="dxa"/>
          </w:tcPr>
          <w:p w14:paraId="57528A7E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1497D958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0727260A" w14:textId="77777777">
        <w:tc>
          <w:tcPr>
            <w:tcW w:w="459" w:type="dxa"/>
          </w:tcPr>
          <w:p w14:paraId="7B23E25F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174" w:type="dxa"/>
          </w:tcPr>
          <w:p w14:paraId="2AB05C1C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na escritura a apresentação da certidão negativa de débitos relativos aos tributos federais e do INSS ou a declaração de dispensa pelo adquirente?</w:t>
            </w:r>
          </w:p>
          <w:p w14:paraId="4ACA72EA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Quando o transmitente for pessoa física, mas não estiver sujeito às contribuições sociais, pode constar na escritura a declaração de que não é empregador, produtor rural ou exerce qualquer atividade que o equipare à pessoa jurídica.</w:t>
            </w:r>
          </w:p>
          <w:p w14:paraId="53A7658E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47, inciso I, alínea “b” da Lei 8.212/1991, artigo 802, inciso VI do Código de Normas da CGJ/SC e artigo 1º da Portaria Conjunta RFB-PGFN 1.751/2014.</w:t>
            </w:r>
          </w:p>
          <w:p w14:paraId="57EFDDAA" w14:textId="77777777" w:rsidR="00734021" w:rsidRDefault="00447F6F">
            <w:pPr>
              <w:tabs>
                <w:tab w:val="left" w:pos="1162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É possível, ainda, que o adquirente dispense expressamente a apresentação da referida certidão.</w:t>
            </w:r>
          </w:p>
          <w:p w14:paraId="28179DDF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Circular 2/2018 da CGJ/SC e artigo 677-A do Código de Normas da CGJ/SC.</w:t>
            </w:r>
          </w:p>
        </w:tc>
        <w:tc>
          <w:tcPr>
            <w:tcW w:w="610" w:type="dxa"/>
          </w:tcPr>
          <w:p w14:paraId="2D10490F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64CF7E24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14D2E6DC" w14:textId="77777777">
        <w:tc>
          <w:tcPr>
            <w:tcW w:w="459" w:type="dxa"/>
          </w:tcPr>
          <w:p w14:paraId="03EB03E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74" w:type="dxa"/>
          </w:tcPr>
          <w:p w14:paraId="6A00BC0E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na escritura a apresentação das certidões de ações reais e pessoais reipersecutórias e de ônus reais incidentes sobre o imóvel?</w:t>
            </w:r>
          </w:p>
          <w:p w14:paraId="393B65D0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 1º, parágrafo 2º da Lei 7.433/1985, artigo 1º, inciso IV do Decreto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93.240/1986 e artigo 802, inciso III do Código de Normas da CGJ/SC.</w:t>
            </w:r>
          </w:p>
          <w:p w14:paraId="36BDB8A6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É possível, ainda, que a escritura seja lavrada apenas com a apresentação da certidão de inteiro teor ou da certidão da situação jurídica atualizada da matrícula.</w:t>
            </w:r>
          </w:p>
          <w:p w14:paraId="27619B36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 19, parágrafos 9º e 11 da Lei 6.015/1973, alterado pela Medida Provisória 1.085/2021. </w:t>
            </w:r>
          </w:p>
        </w:tc>
        <w:tc>
          <w:tcPr>
            <w:tcW w:w="610" w:type="dxa"/>
          </w:tcPr>
          <w:p w14:paraId="668C3776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2C38A9B2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5C56085C" w14:textId="77777777">
        <w:tc>
          <w:tcPr>
            <w:tcW w:w="459" w:type="dxa"/>
          </w:tcPr>
          <w:p w14:paraId="79EF4D8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74" w:type="dxa"/>
          </w:tcPr>
          <w:p w14:paraId="6C7F0CEF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na escritura a apresentação das certidões negativas de débitos municipais relativas aos imóveis ou a declaração de dispensa pelo adquirente?</w:t>
            </w:r>
          </w:p>
          <w:p w14:paraId="6120309F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1º, parágrafo 2º da Lei 7.433/1985, artigo 1º, inciso III do Decreto 93.240/1986 e artigo 802, inciso II do Código de Normas da CGJ/SC.</w:t>
            </w:r>
          </w:p>
        </w:tc>
        <w:tc>
          <w:tcPr>
            <w:tcW w:w="610" w:type="dxa"/>
          </w:tcPr>
          <w:p w14:paraId="2AF63115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41C5CCFE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7EDB9BCA" w14:textId="77777777">
        <w:tc>
          <w:tcPr>
            <w:tcW w:w="459" w:type="dxa"/>
          </w:tcPr>
          <w:p w14:paraId="6B8B945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174" w:type="dxa"/>
          </w:tcPr>
          <w:p w14:paraId="64C62B5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Quando os imóveis objetos da escritura forem unidades autônomas, consta a apresentação da prova de quitação dos débitos condominiais ou a declaração do transmitente sobre a inexistência de débitos?</w:t>
            </w:r>
          </w:p>
          <w:p w14:paraId="217A6854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Nas transferências de unidades autônomas ainda em fase de incorporação imobiliária não é necessário exigir a prova de quitação.</w:t>
            </w:r>
          </w:p>
          <w:p w14:paraId="70011450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4º, parágrafo único da Lei 4.591/1964 e artigo 802, inciso VII do Código de Normas da CGJ/SC.</w:t>
            </w:r>
          </w:p>
        </w:tc>
        <w:tc>
          <w:tcPr>
            <w:tcW w:w="610" w:type="dxa"/>
          </w:tcPr>
          <w:p w14:paraId="74752AEF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4DFD05FD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349C2001" w14:textId="77777777">
        <w:tc>
          <w:tcPr>
            <w:tcW w:w="459" w:type="dxa"/>
          </w:tcPr>
          <w:p w14:paraId="49F48F44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174" w:type="dxa"/>
          </w:tcPr>
          <w:p w14:paraId="4628F959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Sobre os imóveis incide algum ônus ou ação judicial não impeditivos de registro da partilha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ex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: hipoteca e penhora comuns,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servidão, etc.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)?</w:t>
            </w:r>
          </w:p>
          <w:p w14:paraId="2CF29669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Na escritura deve constar expressamente qual o respectivo ônus e/ou ação e a declaração de ciência do adquirente.</w:t>
            </w:r>
          </w:p>
          <w:p w14:paraId="71811421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1º da Lei 6.015/1973, artigo 1º da Lei 8.935/1994, artigo 1º, parágrafo 3º do Decreto 93.240/1986 e artigo 802, inciso III do Código de Normas da CGJ/SC.</w:t>
            </w:r>
          </w:p>
        </w:tc>
        <w:tc>
          <w:tcPr>
            <w:tcW w:w="610" w:type="dxa"/>
          </w:tcPr>
          <w:p w14:paraId="7FEE3BF5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717F1D83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4304CA05" w14:textId="77777777">
        <w:tc>
          <w:tcPr>
            <w:tcW w:w="459" w:type="dxa"/>
          </w:tcPr>
          <w:p w14:paraId="6484921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74" w:type="dxa"/>
          </w:tcPr>
          <w:p w14:paraId="4CE654E0" w14:textId="42295C1C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Sobre os imóveis incide algum ônus ou ação judicial impeditivos de registro da partilha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ex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: alienação fiduciária, hipoteca cedular, hipoteca do SFH, penhora da União Federal ou de suas autarquias e fundações, cláusula de inalienabilidade, promessa de compra e venda em favor de terceiro e averbação de indisponibilidade etc.)?</w:t>
            </w:r>
          </w:p>
          <w:p w14:paraId="3B52F642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Em caso positivo fazer nota de exigência requerendo o cancelamento do referido ônus e/ou ação ou a apresentação de autorização expressa do instituidor do ônus e/ou da ação, quando for o caso. </w:t>
            </w:r>
          </w:p>
          <w:p w14:paraId="78BE167E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Nos casos de alienação fiduciária, caso seja apresentado um contrato de cessão da posição do devedor fiduciante ou outro instrumento compatível, é necessário conferir o documento para saber se as condições de pagamento do financiamento foram alteradas e quais atos devem ser realizados na matrícula.</w:t>
            </w:r>
          </w:p>
          <w:p w14:paraId="2F71DBC8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 29 da Lei 9.514/1997 (Alienação Fiduciária); artigo 59 do Decreto-Lei 167/1967, artigo 51 do Decreto-Lei 413/1969, artigo 3º da Lei 6.313/1975, artigo 5º da Lei 6.840/1980 e artigos 30 e 34, parágrafo 2º da Lei 10.931/2004 (Hipotecas Cedulares); artigo 1º, parágrafo único da Lei 8.004/1990 e artigo 292 da Lei 6.015/1973 (Hipoteca do SFH); artigo 53, parágrafo 1º da Lei 8.212/1991 (Penhora da União e suas Autarquias e Fundações); artigo 1.911 do Código Civil (Cláusula de Inalienabilidade); artigos 1.417 e 1.418 do Código Civil (Promessa de Compra e Venda); e Provimento 39/2014 do CNJ (Indisponibilidades Judiciais).  </w:t>
            </w:r>
          </w:p>
        </w:tc>
        <w:tc>
          <w:tcPr>
            <w:tcW w:w="610" w:type="dxa"/>
          </w:tcPr>
          <w:p w14:paraId="3E0952CF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06BAB029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4BEE6F48" w14:textId="77777777">
        <w:tc>
          <w:tcPr>
            <w:tcW w:w="459" w:type="dxa"/>
          </w:tcPr>
          <w:p w14:paraId="29C6F357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174" w:type="dxa"/>
          </w:tcPr>
          <w:p w14:paraId="50721C0F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A transferência é relativa à propriedade plena ou à nua-propriedade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?</w:t>
            </w:r>
          </w:p>
          <w:p w14:paraId="44AB41EB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Quando o título tiver como objeto apenas a transferência da nua-propriedade, com a reserva de usufruto ao transmitente, devemos realizar dois atos de registro com valor declarado.</w:t>
            </w:r>
          </w:p>
          <w:p w14:paraId="790C9F5F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No primeiro ato deve ser registrada a transferência da nua-propriedade e no segundo ato deve ser registrada a reserva do usufruto.</w:t>
            </w:r>
          </w:p>
          <w:p w14:paraId="744AF8E5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É possível, ainda, que na escritura contenha a transferência da nua-propriedade e a instituição do usufruto para um terceiro. Nessa hipótese, também, devem ser realizados dois registros com valor declarado.</w:t>
            </w:r>
          </w:p>
          <w:p w14:paraId="7B3B4CEB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Circular 39/2020 da CGJ/SC.</w:t>
            </w:r>
          </w:p>
        </w:tc>
        <w:tc>
          <w:tcPr>
            <w:tcW w:w="610" w:type="dxa"/>
          </w:tcPr>
          <w:p w14:paraId="2D02CA95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5F228FAB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4FF8B9AF" w14:textId="77777777">
        <w:tc>
          <w:tcPr>
            <w:tcW w:w="459" w:type="dxa"/>
          </w:tcPr>
          <w:p w14:paraId="15300708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174" w:type="dxa"/>
          </w:tcPr>
          <w:p w14:paraId="6E8A8AA1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Consta na escritura o recolhimento do imposto de transmissão relativo à partilha? </w:t>
            </w:r>
          </w:p>
          <w:p w14:paraId="53F542B1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Na partilha relativa à dissolução da união estável só haverá incidência do Imposto de Transmissão Causa Mortis e Doação (ITCMD) ou do Imposto sobre a Transmissão Onerosa de Bens Imóveis por Ato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Inter Vivos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(ITBI) se os ex-companheiros ficarem com quinhão diferente do que deveriam por direito.</w:t>
            </w:r>
          </w:p>
          <w:p w14:paraId="030C520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Assim, o imposto é devido por eventual excesso de meação, que pode gerar a incidência do ITCMD, caso não haja contraprestação, ou do ITBI, caso o excesso de meação seja compensado de forma onerosa.</w:t>
            </w:r>
          </w:p>
          <w:p w14:paraId="0AB476B9" w14:textId="77777777" w:rsidR="00CD6747" w:rsidRDefault="007161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442">
              <w:rPr>
                <w:rFonts w:ascii="Times New Roman" w:eastAsia="Times New Roman" w:hAnsi="Times New Roman" w:cs="Times New Roman"/>
                <w:sz w:val="20"/>
                <w:szCs w:val="20"/>
              </w:rPr>
              <w:t>- Em caso de partilha igualitária não há incidência do tributo, mas o preenchimento da DIEF é obrigatório, no qual constará ao final “sem imposto a pagar”.</w:t>
            </w:r>
          </w:p>
          <w:p w14:paraId="483B3AF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artigos 505, 802, inciso I, e 803 do Código de Normas da CGJ/SC, </w:t>
            </w:r>
            <w:r w:rsidR="00CD6747" w:rsidRPr="00D24F01">
              <w:rPr>
                <w:rFonts w:ascii="Times New Roman" w:eastAsia="Times New Roman" w:hAnsi="Times New Roman" w:cs="Times New Roman"/>
                <w:sz w:val="20"/>
                <w:szCs w:val="20"/>
              </w:rPr>
              <w:t>artigos 3º, 4º, inciso II, 8º, 25 e 27 da Lei Municipal 3002/2011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artigos 2º, 3º, 7º, 12, 12-A da Lei </w:t>
            </w:r>
            <w:r w:rsidR="00CD67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Estadual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13.136/2004, artigo 134, inciso VI do Código Tributário Nacional, artigo 289 da Lei 6.015/1973 e artigo 30, inciso XI da Lei 8.935/1994.</w:t>
            </w:r>
          </w:p>
        </w:tc>
        <w:tc>
          <w:tcPr>
            <w:tcW w:w="610" w:type="dxa"/>
          </w:tcPr>
          <w:p w14:paraId="23515F66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03C5A287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1C145C1A" w14:textId="77777777">
        <w:tc>
          <w:tcPr>
            <w:tcW w:w="459" w:type="dxa"/>
          </w:tcPr>
          <w:p w14:paraId="13F84199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174" w:type="dxa"/>
          </w:tcPr>
          <w:p w14:paraId="35F947F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Consta na escritura o recolhimento da guia do Fundo do Reaparelhamento da Justiça (FRJ)?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74A060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505 do Código de Normas da CGJ/SC.</w:t>
            </w:r>
          </w:p>
          <w:p w14:paraId="2DD6F338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Nas escrituras em que os interessados declararem hipossuficiência o FRJ será isento.</w:t>
            </w:r>
          </w:p>
          <w:p w14:paraId="2A3D84A9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Ofício-Circular 003/2021 do FRJ.</w:t>
            </w:r>
          </w:p>
        </w:tc>
        <w:tc>
          <w:tcPr>
            <w:tcW w:w="610" w:type="dxa"/>
          </w:tcPr>
          <w:p w14:paraId="15170EA7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3099EC8B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239146B5" w14:textId="77777777">
        <w:tc>
          <w:tcPr>
            <w:tcW w:w="459" w:type="dxa"/>
          </w:tcPr>
          <w:p w14:paraId="541E0F7C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174" w:type="dxa"/>
          </w:tcPr>
          <w:p w14:paraId="2044F12C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Os emolumentos foram recolhidos corretamente?</w:t>
            </w:r>
          </w:p>
          <w:p w14:paraId="0FE4F8C2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Fundamento: artigo 14 da Lei 6.015/1973 e artigo 4º da Lei Complementar 755/2019.</w:t>
            </w:r>
          </w:p>
          <w:p w14:paraId="5E27E0CC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Averbação (sem valor) - Dissolução de União Estável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="000409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82 da Lei Complementar 755/2019.</w:t>
            </w:r>
          </w:p>
          <w:p w14:paraId="3AE7E666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Registro (com valor) - Partilha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Lei Complementar 755/2019.</w:t>
            </w:r>
          </w:p>
          <w:p w14:paraId="6D7EAD4B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Base de Cálculo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Quando houver partilha expressa, a base de cálculo será o valor integral do imóvel, independentemente do percentual que tocar a cada um dos ex-companheiros. Deve ser utilizado para cálculo o maior valor entre o valor declarado para o negócio, o valor venal atribuído para fins de cobrança do imposto de transmissão e o valor real ou de mercado. </w:t>
            </w:r>
          </w:p>
          <w:p w14:paraId="2FCB1912" w14:textId="7AAF3DF3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681 do Código de Normas da CGJ/SC c/c</w:t>
            </w:r>
            <w:r w:rsidR="00277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Enunciado 13 da ANOREG/SC e CORI/SC.</w:t>
            </w:r>
          </w:p>
          <w:p w14:paraId="1D8DA71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Quando houver doação da nua-propriedade, a base de cálculo será o valor declarado expressamente para a nua-propriedade ou para a doação. Para o registro da reserva ou da instituição do usufruto, a base de cálculo será o valor expressamente declarado ao usufruto ou, na sua ausência, o valor da integralidade do imóvel.</w:t>
            </w:r>
          </w:p>
          <w:p w14:paraId="5E4F4E14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6º c/c artigo 67 da Lei Complementar 755/2019.</w:t>
            </w:r>
          </w:p>
          <w:p w14:paraId="23734EBA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Unidades Acessórias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Nos registros de negócio jurídico, com as mesmas partes e que envolvam unidades autônomas principais (apartamento, sala,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loja, etc.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 e unidades autônomas “acessórias” (vaga, hobby-box, etc.) devem ser cobrados emolumentos integrais pe</w:t>
            </w:r>
            <w:r w:rsidR="00DF24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lo imóvel de maior valor e 2/3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dos emolumentos previstos na tabela para as unidades autônomas “acessórias”.</w:t>
            </w:r>
          </w:p>
          <w:p w14:paraId="199FF9E8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66 da Lei Complementar 755/2019.</w:t>
            </w:r>
          </w:p>
          <w:p w14:paraId="294305EF" w14:textId="77777777" w:rsidR="00942A67" w:rsidRDefault="00942A67" w:rsidP="00942A6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Cancelamento de Protocolo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Ocorrendo o cancelamento do protocolo depois da qualificação registral, a requerimento do interessado ou em razão do simples decurso do prazo de prenotação (artigo 205 da Lei 6.015/1973), sem o cumprimento das exigências formuladas, serão devidos os emolumentos relativos ao cancelamento de protocolo. Lei Complementar 755/2019.</w:t>
            </w:r>
          </w:p>
          <w:p w14:paraId="0B4774B3" w14:textId="77777777" w:rsidR="00942A67" w:rsidRDefault="00942A67" w:rsidP="00942A6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FRJ incidirá à razão de 22,73% sobre o valor dos emolumentos.</w:t>
            </w:r>
          </w:p>
          <w:p w14:paraId="4F54A675" w14:textId="77777777" w:rsidR="00942A67" w:rsidRDefault="00942A67" w:rsidP="00942A6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3º-A da Lei 8.067/1990.</w:t>
            </w:r>
          </w:p>
          <w:p w14:paraId="7D82AF84" w14:textId="77777777" w:rsidR="00942A67" w:rsidRDefault="00942A67" w:rsidP="00942A6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O ISS incidirá à razão de 5% sobre o valor dos emolumentos.</w:t>
            </w:r>
          </w:p>
          <w:p w14:paraId="19945311" w14:textId="77777777" w:rsidR="00942A67" w:rsidRDefault="00942A67" w:rsidP="00942A6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Fundamento: artigo 36 da Lei Municipal 3003/2011.</w:t>
            </w:r>
          </w:p>
          <w:p w14:paraId="6A436D3E" w14:textId="77777777" w:rsidR="00734021" w:rsidRDefault="00942A67" w:rsidP="00942A6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Caso haja divergência na cotação, devemos alterar os emolumentos no sistema, na aba “custas” e no campo “serviços cadastrados”, e no protocolo impresso, manuscritamente.</w:t>
            </w:r>
          </w:p>
        </w:tc>
        <w:tc>
          <w:tcPr>
            <w:tcW w:w="610" w:type="dxa"/>
          </w:tcPr>
          <w:p w14:paraId="37C2DAF6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4956D75F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7EF5E60D" w14:textId="77777777">
        <w:tc>
          <w:tcPr>
            <w:tcW w:w="459" w:type="dxa"/>
          </w:tcPr>
          <w:p w14:paraId="17525683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74" w:type="dxa"/>
          </w:tcPr>
          <w:p w14:paraId="4CCDA160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Caso o título tenha sido qualificado positivamente, o ato foi cadastrado para a emissão da Declaração sobre Operações Imobiliárias (DOI)?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7B4CC26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2º da Instrução Normativa RFB 1.112/2010.</w:t>
            </w:r>
          </w:p>
        </w:tc>
        <w:tc>
          <w:tcPr>
            <w:tcW w:w="610" w:type="dxa"/>
          </w:tcPr>
          <w:p w14:paraId="3E089357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6A0939A9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3E95FF80" w14:textId="77777777">
        <w:tc>
          <w:tcPr>
            <w:tcW w:w="459" w:type="dxa"/>
          </w:tcPr>
          <w:p w14:paraId="3A8782E0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174" w:type="dxa"/>
          </w:tcPr>
          <w:p w14:paraId="7BB4927B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Caso o título tenha sido qualificado positivamente e se trate de imóvel de marinha, o ato foi cadastrado para a emissão da Declaração sobre Operações Imobiliárias de Terrenos da União (DOITU)?</w:t>
            </w:r>
          </w:p>
          <w:p w14:paraId="596460FC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3º-A do Decreto-Lei 2.398/1987 e artigo 2º da Portaria SPU/ME 24.218/2020.</w:t>
            </w:r>
          </w:p>
        </w:tc>
        <w:tc>
          <w:tcPr>
            <w:tcW w:w="610" w:type="dxa"/>
          </w:tcPr>
          <w:p w14:paraId="7AE97763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69961AFB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021" w14:paraId="217347AA" w14:textId="77777777">
        <w:tc>
          <w:tcPr>
            <w:tcW w:w="459" w:type="dxa"/>
          </w:tcPr>
          <w:p w14:paraId="1B77B60E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174" w:type="dxa"/>
          </w:tcPr>
          <w:p w14:paraId="5A9007C8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A conferência resultou em exigência (qualificação negativa)?</w:t>
            </w:r>
          </w:p>
          <w:p w14:paraId="6287758C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 conferência dos documentos deve ser exaustiva e a nota de exigência formulada com a exposição clara e objetiva dos fundamentos da recusa.</w:t>
            </w:r>
          </w:p>
          <w:p w14:paraId="01B5594D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As folhas do procedimento devem ser numeradas e mencionadas na nota de exigência e o protocolo “qualificado negativamente” e encaminhado para a digitalização.</w:t>
            </w:r>
          </w:p>
          <w:p w14:paraId="252F7F7E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Após o cumprimento da exigência, com base em novas informações e/ou novos documentos, poderá ser formulada nova nota de exigência.</w:t>
            </w:r>
          </w:p>
          <w:p w14:paraId="2A3AD82C" w14:textId="77777777" w:rsidR="00734021" w:rsidRDefault="00447F6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Fundamento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artigo 198 da Lei 6.015/1973 e artigo 492 do Código de Normas da CGJ/SC.</w:t>
            </w:r>
          </w:p>
        </w:tc>
        <w:tc>
          <w:tcPr>
            <w:tcW w:w="610" w:type="dxa"/>
          </w:tcPr>
          <w:p w14:paraId="2E83E0D5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</w:tcPr>
          <w:p w14:paraId="145524D9" w14:textId="77777777" w:rsidR="00734021" w:rsidRDefault="007340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E910C63" w14:textId="77777777" w:rsidR="00734021" w:rsidRDefault="0073402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D9524AD" w14:textId="77777777" w:rsidR="00734021" w:rsidRDefault="00447F6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Declaro que preenchi o presente roteiro de conferência após analisar o(s) documento(s) apresentado(s) e a(s) matrícula(s) prenotada(s), responsabilizando-me pelas informações inseridas.</w:t>
      </w:r>
    </w:p>
    <w:p w14:paraId="5DAD0492" w14:textId="77777777" w:rsidR="00734021" w:rsidRDefault="0073402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1953B77" w14:textId="77777777" w:rsidR="00734021" w:rsidRDefault="00447F6F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Conferência inicial</w:t>
      </w:r>
      <w:r>
        <w:rPr>
          <w:rFonts w:ascii="Times New Roman" w:eastAsia="Times New Roman" w:hAnsi="Times New Roman" w:cs="Times New Roman"/>
          <w:sz w:val="20"/>
          <w:szCs w:val="20"/>
        </w:rPr>
        <w:t>: Data: ____/____/_____. Nome: _____________________. Assinatura: ____________________</w:t>
      </w:r>
    </w:p>
    <w:sectPr w:rsidR="00734021">
      <w:pgSz w:w="11906" w:h="16838"/>
      <w:pgMar w:top="567" w:right="1134" w:bottom="709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4021"/>
    <w:rsid w:val="00040963"/>
    <w:rsid w:val="001D40F7"/>
    <w:rsid w:val="0027789F"/>
    <w:rsid w:val="00444112"/>
    <w:rsid w:val="00447F6F"/>
    <w:rsid w:val="007161AD"/>
    <w:rsid w:val="00734021"/>
    <w:rsid w:val="00891DFD"/>
    <w:rsid w:val="00942A67"/>
    <w:rsid w:val="00A939A0"/>
    <w:rsid w:val="00B575C9"/>
    <w:rsid w:val="00B6262C"/>
    <w:rsid w:val="00CD6747"/>
    <w:rsid w:val="00DF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F62A"/>
  <w15:docId w15:val="{1887A062-EDAF-472B-AFD6-4738E049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widowControl w:val="0"/>
        <w:spacing w:after="20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2795</Words>
  <Characters>15094</Characters>
  <Application>Microsoft Office Word</Application>
  <DocSecurity>0</DocSecurity>
  <Lines>125</Lines>
  <Paragraphs>35</Paragraphs>
  <ScaleCrop>false</ScaleCrop>
  <Company/>
  <LinksUpToDate>false</LinksUpToDate>
  <CharactersWithSpaces>17854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Guilherme Valente</cp:lastModifiedBy>
  <cp:revision>14</cp:revision>
  <dcterms:created xsi:type="dcterms:W3CDTF">2023-05-25T20:38:00Z</dcterms:created>
  <dcterms:modified xsi:type="dcterms:W3CDTF">2023-10-01T21:53:00Z</dcterms:modified>
</cp:coreProperties>
</file>