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5E9730" w14:textId="22313155" w:rsidR="00E61739" w:rsidRDefault="00E61739" w:rsidP="00E61739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inline distT="0" distB="0" distL="0" distR="0" wp14:anchorId="745781CC" wp14:editId="5C1B6652">
            <wp:extent cx="2755900" cy="866140"/>
            <wp:effectExtent l="0" t="0" r="6350" b="0"/>
            <wp:docPr id="322" name="Picture 322" descr="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 descr="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DB9B8" w14:textId="77777777" w:rsidR="00E61739" w:rsidRDefault="00E61739" w:rsidP="00E61739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19D2074" w14:textId="7CA30E0A" w:rsidR="00FC2D48" w:rsidRDefault="00705FF6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F</w:t>
      </w:r>
      <w:r w:rsidR="00A03FB2">
        <w:rPr>
          <w:rFonts w:ascii="Times New Roman" w:eastAsia="Times New Roman" w:hAnsi="Times New Roman" w:cs="Times New Roman"/>
          <w:b/>
          <w:sz w:val="20"/>
          <w:szCs w:val="20"/>
        </w:rPr>
        <w:t>PROTOCOLO: _____________</w:t>
      </w:r>
      <w:proofErr w:type="gramStart"/>
      <w:r w:rsidR="00A03FB2">
        <w:rPr>
          <w:rFonts w:ascii="Times New Roman" w:eastAsia="Times New Roman" w:hAnsi="Times New Roman" w:cs="Times New Roman"/>
          <w:b/>
          <w:sz w:val="20"/>
          <w:szCs w:val="20"/>
        </w:rPr>
        <w:t>_  MATRÍCULA</w:t>
      </w:r>
      <w:proofErr w:type="gramEnd"/>
      <w:r w:rsidR="00A03FB2">
        <w:rPr>
          <w:rFonts w:ascii="Times New Roman" w:eastAsia="Times New Roman" w:hAnsi="Times New Roman" w:cs="Times New Roman"/>
          <w:b/>
          <w:sz w:val="20"/>
          <w:szCs w:val="20"/>
        </w:rPr>
        <w:t>(S): __________________________________________</w:t>
      </w:r>
    </w:p>
    <w:p w14:paraId="63F2FEE5" w14:textId="77777777" w:rsidR="00FC2D48" w:rsidRDefault="00FC2D48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7C298196" w14:textId="77777777" w:rsidR="00FC2D48" w:rsidRDefault="00A03FB2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PENHORA</w:t>
      </w:r>
    </w:p>
    <w:p w14:paraId="5F5D54FF" w14:textId="77777777" w:rsidR="00FC2D48" w:rsidRDefault="00FC2D4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10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9050"/>
        <w:gridCol w:w="602"/>
        <w:gridCol w:w="613"/>
      </w:tblGrid>
      <w:tr w:rsidR="00FC2D48" w14:paraId="58684B88" w14:textId="77777777">
        <w:trPr>
          <w:trHeight w:val="160"/>
        </w:trPr>
        <w:tc>
          <w:tcPr>
            <w:tcW w:w="439" w:type="dxa"/>
          </w:tcPr>
          <w:p w14:paraId="1A929E12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0" w:type="dxa"/>
          </w:tcPr>
          <w:p w14:paraId="05C6CD71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6C424A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613" w:type="dxa"/>
          </w:tcPr>
          <w:p w14:paraId="1DBF8BF1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</w:t>
            </w:r>
          </w:p>
        </w:tc>
      </w:tr>
      <w:tr w:rsidR="00FC2D48" w14:paraId="659AA391" w14:textId="77777777">
        <w:tc>
          <w:tcPr>
            <w:tcW w:w="439" w:type="dxa"/>
          </w:tcPr>
          <w:p w14:paraId="342675F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0" w:type="dxa"/>
          </w:tcPr>
          <w:p w14:paraId="4288BBE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outra prenotação vinculada às matrículas objetos do presente título?</w:t>
            </w:r>
          </w:p>
          <w:p w14:paraId="129E7793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da prenotação deve ser realizada pelo campo “visualizar pendências do imóvel”, na aba de matrículas, quando da conferência inicial, do registro e da conferência final.</w:t>
            </w:r>
          </w:p>
          <w:p w14:paraId="645DFB45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devemos verificar se os títulos ou procedimentos prenotados impedem a inscrição do ato requerido ou se, não impedindo, qual deve ser inscrito anteriormente.</w:t>
            </w:r>
          </w:p>
          <w:p w14:paraId="047D811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entre as matrículas constantes no título e as matrículas prenotadas no sistema, devemos corrigir a prenotação e anotar a correção manuscritamente no protocolo.</w:t>
            </w:r>
          </w:p>
          <w:p w14:paraId="5DCE7FA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11, 12, 174, 182, 186 e 190 da Lei 6.015/1973.</w:t>
            </w:r>
          </w:p>
        </w:tc>
        <w:tc>
          <w:tcPr>
            <w:tcW w:w="602" w:type="dxa"/>
          </w:tcPr>
          <w:p w14:paraId="56045F98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00D424F6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2D48" w14:paraId="61A523A4" w14:textId="77777777">
        <w:tc>
          <w:tcPr>
            <w:tcW w:w="439" w:type="dxa"/>
          </w:tcPr>
          <w:p w14:paraId="7881E65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0" w:type="dxa"/>
          </w:tcPr>
          <w:p w14:paraId="2A6E75C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Foi apresentado um ofício ou o mandado determinando a inscrição da penhora?</w:t>
            </w:r>
          </w:p>
          <w:p w14:paraId="6AA9ACA8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Alternativamente, podem ser apresentados a certidão, o termo ou o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 expedidos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 processo, acompanhado de requerimento do exequente, que deve conter a informação sobre qual direito real (nua-propriedade, usufruto, direito real de aquisição, etc.) deve recair o gravame.</w:t>
            </w:r>
          </w:p>
          <w:p w14:paraId="0A51A6E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mandado, ofício, certidão, termo ou auto devem conter a natureza da ação, número dos autos, identificação do Juízo e o valor da dívida.</w:t>
            </w:r>
          </w:p>
          <w:p w14:paraId="797D187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conste o valor da dívida, a parte pode apresentar a petição inicial ou outro documento extraído do processo onde conste o valor atualizado da dívida.</w:t>
            </w:r>
          </w:p>
          <w:p w14:paraId="4F20E65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Os documentos exarados do processo podem ser apresentados na via original ou em cópia autenticada. </w:t>
            </w:r>
          </w:p>
          <w:p w14:paraId="3C32B3A3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239 da Lei 6.015/1973, artigos 658 e 686-A do Código de Normas da CGJ/SC e artigo 73 da Lei Estadual Complementar 755/2019.</w:t>
            </w:r>
          </w:p>
          <w:p w14:paraId="002247FD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Quando apresentado requerimento e o exequente for representado por um procurador extrajudicial, deve ser apresentada a procuração com poderes específicos, na via original ou em cópia autenticada, e com o respectivo reconhecimento de firma do mandante. Caso o requerimento seja assinado por procurador judicial, deve ser apresentada cópia da procuração extraída do processo, não se fazendo necessário o reconhecimento de firma. </w:t>
            </w:r>
          </w:p>
          <w:p w14:paraId="3E306B3C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661 do Código Civil e artigos 658 e 686 do Código de Normas da CGJ/SC.</w:t>
            </w:r>
          </w:p>
          <w:p w14:paraId="628EAAB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 requerimento seja assinado manuscritamente, deve conter o reconhecimento de firma.</w:t>
            </w:r>
          </w:p>
          <w:p w14:paraId="16385FD7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221, inciso II da Lei 6.015/1973.</w:t>
            </w:r>
          </w:p>
          <w:p w14:paraId="0BC16C6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o requerimento seja assinado digitalmente, deve ser utilizado um certificado emitido com os requisitos da Infraestrutura de Chaves Públicas Brasileira (ICP-Brasil) ou do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-Notariado.</w:t>
            </w:r>
          </w:p>
          <w:p w14:paraId="1668BF8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10, parágrafo 2º da Medida Provisória 2.200-2/2001, artigo 12 do Provimento 89/2019 do CNJ e artigos 9º, parágrafo 5º e 29 do Provimento 100/2020 do CNJ.</w:t>
            </w:r>
          </w:p>
        </w:tc>
        <w:tc>
          <w:tcPr>
            <w:tcW w:w="602" w:type="dxa"/>
          </w:tcPr>
          <w:p w14:paraId="4B896208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7082B6A1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2D48" w14:paraId="04531A2C" w14:textId="77777777">
        <w:tc>
          <w:tcPr>
            <w:tcW w:w="439" w:type="dxa"/>
          </w:tcPr>
          <w:p w14:paraId="17552CD0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0" w:type="dxa"/>
          </w:tcPr>
          <w:p w14:paraId="39A4E00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executados na ação são detentores de direito real nas matrículas?</w:t>
            </w:r>
          </w:p>
          <w:p w14:paraId="053477A5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Para identificação das partes é necessário constar nos documentos apresentados, no mínimo, o nome completo e o CPF, para afastar o risco de homonímia. </w:t>
            </w:r>
          </w:p>
          <w:p w14:paraId="48DEA06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os executados não sejam detentores de direito real nas matrículas, devemos buscar no processo, quando digital, por documentos que esclareçam o motivo.</w:t>
            </w:r>
          </w:p>
          <w:p w14:paraId="1FBC5062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Nas ações de execução de taxas e de tributos sobre o imóvel (obrigações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propter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rem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), por exemplo, é possível que o executado não seja detentor de direito real na matrícula (ex.: adquirentes sem registro), mas devemos conferir no processo, para certificar que não se trata apenas de erro de indicação da unidade.</w:t>
            </w:r>
          </w:p>
          <w:p w14:paraId="1664859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seja possível localizar documentos que esclareçam o fato, devemos oficiar ao Juízo, consultando-o acerca da efetivação da penhora.</w:t>
            </w:r>
          </w:p>
          <w:p w14:paraId="296597F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1º e 237 da Lei 6.015/1973.</w:t>
            </w:r>
          </w:p>
        </w:tc>
        <w:tc>
          <w:tcPr>
            <w:tcW w:w="602" w:type="dxa"/>
          </w:tcPr>
          <w:p w14:paraId="3984D692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8287D13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2D48" w14:paraId="355BD83C" w14:textId="77777777">
        <w:tc>
          <w:tcPr>
            <w:tcW w:w="439" w:type="dxa"/>
          </w:tcPr>
          <w:p w14:paraId="031FBC6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0" w:type="dxa"/>
          </w:tcPr>
          <w:p w14:paraId="738BEB5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Sobre o imóvel incide algum ônus impeditivo para inscrição da penhora?</w:t>
            </w:r>
          </w:p>
          <w:p w14:paraId="59D0A20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usufruto é um direito real personalíssimo, motivo pelo qual não deveria ser objeto de penhora.</w:t>
            </w:r>
          </w:p>
          <w:p w14:paraId="33E5D312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artigos 1.391 e 1.393 do Código Civil.  </w:t>
            </w:r>
          </w:p>
          <w:p w14:paraId="12DF272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penhora sobre direitos de aquisição, decorrentes de um contrato de promessa de compra e venda não registrado, dependerá, em regra, do registro do referido contrato.</w:t>
            </w:r>
          </w:p>
          <w:p w14:paraId="15EE56F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1.417 do Código Civil.</w:t>
            </w:r>
          </w:p>
          <w:p w14:paraId="738C14D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hipoteca cedular não deveriam ser penhorados.</w:t>
            </w:r>
          </w:p>
          <w:p w14:paraId="6008F371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5º da Lei 6.840/1980 e artigos 30 e 34, parágrafo 2º da Lei 10.931/2004.</w:t>
            </w:r>
          </w:p>
          <w:p w14:paraId="527026D1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alienação fiduciária podem ser penhorados, mas deve constar na ordem sobre qual direito real recai a penhora. O credor fiduciário é detentor da propriedade fiduciária e o devedor fiduciante é detentor do direito real de aquisição.</w:t>
            </w:r>
          </w:p>
          <w:p w14:paraId="338E07ED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22 da Lei 9.514/1997 e artigo 1.368-B do Código Civil. </w:t>
            </w:r>
          </w:p>
          <w:p w14:paraId="6AD2ED6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Imóveis gravados com o patrimônio de afetação não se comunicam com os demais bens, direitos e obrigações do patrimônio geral do incorporador e só responde por dívidas e obrigações vinculadas à respectiva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incorporação.</w:t>
            </w:r>
          </w:p>
          <w:p w14:paraId="38EB891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31-A da Lei 4.591/1964.</w:t>
            </w:r>
          </w:p>
          <w:p w14:paraId="3EF772E7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cláusula de impenhorabilidade podem ser penhorados somente nos casos de: a) execuções de dívidas tributárias do respectivo imóvel; b) débitos com a Fazenda Pública e dos seus Institutos; e c) das dívidas condominiais.</w:t>
            </w:r>
          </w:p>
          <w:p w14:paraId="35FFD432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como bem de família podem ser penhorados em decorrência de: a) dívidas com trabalhadores da própria residência; b) dívida de financiamento destinado à construção ou aquisição do respectivo imóvel; c) cobrança de impostos predial ou territorial, taxas e contribuições devidas em função do imóvel; d) execução de hipoteca oferecida como garantia real pelo casal ou entidade familiar; e) fiança concedida em contrato de locação; e f) dívidas condominiais.</w:t>
            </w:r>
          </w:p>
          <w:p w14:paraId="327C588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1.715 do Código Civil. </w:t>
            </w:r>
          </w:p>
          <w:p w14:paraId="675E29F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Em todos os casos a inscrição não deve ser negada diretamente, devemos consultar o Juízo que determinou a penhora.</w:t>
            </w:r>
          </w:p>
          <w:p w14:paraId="227D7FB1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647 do Código de Normas da CGJ/SC.</w:t>
            </w:r>
          </w:p>
        </w:tc>
        <w:tc>
          <w:tcPr>
            <w:tcW w:w="602" w:type="dxa"/>
          </w:tcPr>
          <w:p w14:paraId="4398664B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48991F8A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2D48" w14:paraId="108BFC36" w14:textId="77777777">
        <w:tc>
          <w:tcPr>
            <w:tcW w:w="439" w:type="dxa"/>
          </w:tcPr>
          <w:p w14:paraId="1F834D3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0" w:type="dxa"/>
          </w:tcPr>
          <w:p w14:paraId="0B36F607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Os custos foram recolhidos corretamente? </w:t>
            </w:r>
          </w:p>
          <w:p w14:paraId="56892E5A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14 da Lei 6.015/1973 e artigo 4º da Lei Complementar 755/2019.</w:t>
            </w:r>
          </w:p>
          <w:p w14:paraId="67C41B4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custos serão formados pelos emolumentos, acrescidos dos valores relativos ao Fundo do Reaparelhamento da Justiça - FRJ, ao Imposto Sobre Serviços - ISS e à taxa de cartão, se houver.</w:t>
            </w:r>
          </w:p>
          <w:p w14:paraId="6957FBF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12, parágrafo 4º, da Lei Complementar 755/2019 e artigo 22 da Lei Complementar 807/2022.</w:t>
            </w:r>
          </w:p>
          <w:p w14:paraId="6F6A05E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emolumentos serão de:</w:t>
            </w:r>
          </w:p>
          <w:p w14:paraId="51713A38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Registro (ato de averbação)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 penhora deve ser inscrita por ato de averbação, mas os emolumentos serão cobrados como registro. </w:t>
            </w:r>
          </w:p>
          <w:p w14:paraId="7FD3654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46/2020 da CGJ/SC.</w:t>
            </w:r>
          </w:p>
          <w:p w14:paraId="6BE28846" w14:textId="5578B733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Para averbação da penhora são devidos os emolumentos correspondentes a 1/3 do valor dos emolumentos constantes na Tabela III da Lei Complementar 755/2019.</w:t>
            </w:r>
          </w:p>
          <w:p w14:paraId="6C92D9F1" w14:textId="217B9D10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Base de Cálculo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 base de cálculo será o valor da causa ou o valor da dívida, devidamente atualizados, devendo ser observado o valor mínimo previsto na Tabela III.</w:t>
            </w:r>
          </w:p>
          <w:p w14:paraId="58BFDDC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73 da Lei Complementar 755/2019.</w:t>
            </w:r>
          </w:p>
          <w:p w14:paraId="53ABCC12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 averbação da penhora deve constar o valor atualizado da dívida constante no processo, a data da atualização e em seguida deve conter, entre parênteses, o valor da dívida atualizado monetariamente para fins de cálculo dos emolumentos e, se for o caso, do FRJ.</w:t>
            </w:r>
          </w:p>
          <w:p w14:paraId="00C0B1E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Unidades Acessórias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 redução de 1/3 prevista no artigo 66 da Lei Complementar 755/2019 não deve ser aplicada nas inscrições de constrições judiciais.</w:t>
            </w:r>
          </w:p>
          <w:p w14:paraId="7B75727C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Acórdão exarado na Consulta 0030371-10.2020.8.24.0710 do Conselho da Magistratura do TJ/SC.  </w:t>
            </w:r>
          </w:p>
          <w:p w14:paraId="63B5E62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Justiças Estadual e Federal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a penhora for proveniente das Justiças Estaduais ou da Justiça Federal devemos solicitar o pagamento dos emolumentos.</w:t>
            </w:r>
          </w:p>
          <w:p w14:paraId="544B22C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Justiça do Trabalho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a penhora for requerida pela parte interessada, devemos exigir o recolhimento dos custos para a averbação. Todavia, quando a ordem for enviada diretamente pelo Juízo, devemos fazer a averbação e informar por ofício que o recolhimento deverá ser realizado ao final do processo. Nesta hipótese, no lançamento dos emolumentos devemos utilizar a tabela de “custas específicas - ato sem cobrança” e no campo “tipo de desconto” selecionar “sem isenção”.</w:t>
            </w:r>
          </w:p>
          <w:p w14:paraId="618250D5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66/2014 da CGJ/SC.</w:t>
            </w:r>
          </w:p>
          <w:p w14:paraId="5F63F715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Gratuidade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o interessado no ato for beneficiário da gratuidade da justiça, deve ser apresentado um documento extraído do processo que comprove o deferimento do benefício.</w:t>
            </w:r>
          </w:p>
          <w:p w14:paraId="50BC446C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gratuidade deferida na fase de conhecimento se estende à fase de cumprimento de sentença.</w:t>
            </w:r>
          </w:p>
          <w:p w14:paraId="6199C158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artigo 98, parágrafo 1º, inciso IX do Código de Processo Civil. </w:t>
            </w:r>
          </w:p>
          <w:p w14:paraId="629B2C33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a penhora for determinada por Juízo criminal, em que o interessado seja o próprio Poder Público, o FRJ será isento.</w:t>
            </w:r>
          </w:p>
          <w:p w14:paraId="75FB9B8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7º, inciso I da Lei Complementar 755/2019.</w:t>
            </w:r>
          </w:p>
          <w:p w14:paraId="508BA087" w14:textId="1E452942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Cancelamento de Protocolo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Ocorrendo o cancelamento do protocolo depois da qualificação registral, a requerimento do interessado ou em razão do simples decurso do prazo de prenotação (artigo 205 da Lei 6.015/1973), sem o cumprimento das exigências formuladas, serão devidos os emolumentos relativos ao cancelamento de protocolo.</w:t>
            </w:r>
          </w:p>
          <w:p w14:paraId="179A4452" w14:textId="5E07D9E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Tabela III da Lei Complementar 755/2019. </w:t>
            </w:r>
          </w:p>
          <w:p w14:paraId="143BB923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 título seja qualificado negativamente e o interessado no ato seja beneficiário da justiça gratuita ou o título tenha sido protocolado diretamente pelo juízo, devemos inserir na aba “custas” a rubrica “cancelamento de protocolo” com o tipo de isenção “cancelamento sem valor”.</w:t>
            </w:r>
          </w:p>
          <w:p w14:paraId="523A21CC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FRJ incidirá à razão de 22,73% sobre o valor dos emolumentos.</w:t>
            </w:r>
          </w:p>
          <w:p w14:paraId="1B2F5DC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3º-A da Lei 8.067/1990.</w:t>
            </w:r>
          </w:p>
          <w:p w14:paraId="032DB73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ISS incidirá à razão de 5% sobre o valor dos emolumentos.</w:t>
            </w:r>
          </w:p>
          <w:p w14:paraId="48E54DC7" w14:textId="77777777" w:rsidR="0099121E" w:rsidRDefault="0099121E" w:rsidP="009912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36 da Lei Municipal 3003/2011.</w:t>
            </w:r>
          </w:p>
          <w:p w14:paraId="60F67222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na cotação, devemos alterar os emolumentos no sistema, na aba “custas” e no campo “serviços cadastrados”, e no protocolo impresso, manuscritamente.</w:t>
            </w:r>
          </w:p>
        </w:tc>
        <w:tc>
          <w:tcPr>
            <w:tcW w:w="602" w:type="dxa"/>
          </w:tcPr>
          <w:p w14:paraId="69857F18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4169BD32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2D48" w14:paraId="134F526C" w14:textId="77777777">
        <w:tc>
          <w:tcPr>
            <w:tcW w:w="439" w:type="dxa"/>
          </w:tcPr>
          <w:p w14:paraId="65575D4F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0" w:type="dxa"/>
          </w:tcPr>
          <w:p w14:paraId="63A39AA8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 título foi qualificado negativamente?</w:t>
            </w:r>
          </w:p>
          <w:p w14:paraId="1670FBA5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 conferência dos documentos deve ser exaustiva e a nota de exigência formulada com a exposição clara 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objetiva dos fundamentos da recusa.</w:t>
            </w:r>
          </w:p>
          <w:p w14:paraId="0772AFE7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pelo interessado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de:</w:t>
            </w:r>
          </w:p>
          <w:p w14:paraId="55D2E4E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(a) manifestação do juízo, serão a este submetidas, por meio de ofício, devendo, ainda, ser formulada uma nota de exigência comunicando o interessado sobre a consulta ao juízo; e</w:t>
            </w:r>
          </w:p>
          <w:p w14:paraId="16A4E776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(b) providência do interessado, serão a ele submetidas, por meio de nota de exigência, devendo ainda ser comunicado ao juízo, por meio de ofício, apenas para ciência.</w:t>
            </w:r>
          </w:p>
          <w:p w14:paraId="4F505669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diretamente pelo juízo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 manifestação do juízo ou de providência do interessado, serão submetidas ao juízo, por meio de ofício.</w:t>
            </w:r>
          </w:p>
          <w:p w14:paraId="580FCAFE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protocolo deve ser “qualificado negativamente” no sistema e encaminhado para a digitalização.</w:t>
            </w:r>
          </w:p>
          <w:p w14:paraId="70EB4BBC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Após o cumprimento das exigências, com base em novas informações e/ou novos documentos, poderá ser formulada nova nota de exigência.</w:t>
            </w:r>
          </w:p>
          <w:p w14:paraId="0DC566DB" w14:textId="77777777" w:rsidR="00FC2D48" w:rsidRDefault="00A03F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198 da Lei 6.015/1973 e artigos 492 e 646 do Código de Normas da CGJ/SC.</w:t>
            </w:r>
          </w:p>
        </w:tc>
        <w:tc>
          <w:tcPr>
            <w:tcW w:w="602" w:type="dxa"/>
          </w:tcPr>
          <w:p w14:paraId="6907A743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65A8AF05" w14:textId="77777777" w:rsidR="00FC2D48" w:rsidRDefault="00FC2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519B985" w14:textId="77777777" w:rsidR="00FC2D48" w:rsidRDefault="00FC2D48">
      <w:pPr>
        <w:spacing w:after="0"/>
        <w:jc w:val="left"/>
        <w:rPr>
          <w:rFonts w:ascii="Times New Roman" w:eastAsia="Times New Roman" w:hAnsi="Times New Roman" w:cs="Times New Roman"/>
          <w:sz w:val="20"/>
          <w:szCs w:val="20"/>
        </w:rPr>
      </w:pPr>
    </w:p>
    <w:p w14:paraId="26EF1DAD" w14:textId="77777777" w:rsidR="00FC2D48" w:rsidRDefault="00A03F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Declaro que preenchi o presente roteiro de conferência após analisar o(s) documento(s) apresentado(s) e a(s) matrícula(s) prenotada(s), responsabilizando-me pelas informações inseridas.</w:t>
      </w:r>
    </w:p>
    <w:p w14:paraId="3E524113" w14:textId="77777777" w:rsidR="00FC2D48" w:rsidRDefault="00FC2D4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4975DD3" w14:textId="77777777" w:rsidR="00FC2D48" w:rsidRDefault="00A03FB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Conferência inicial</w:t>
      </w:r>
      <w:r>
        <w:rPr>
          <w:rFonts w:ascii="Times New Roman" w:eastAsia="Times New Roman" w:hAnsi="Times New Roman" w:cs="Times New Roman"/>
          <w:sz w:val="20"/>
          <w:szCs w:val="20"/>
        </w:rPr>
        <w:t>: Data: ____/____/_____. Nome: _____________________. Assinatura: ____________________</w:t>
      </w:r>
    </w:p>
    <w:sectPr w:rsidR="00FC2D48">
      <w:pgSz w:w="11906" w:h="16838"/>
      <w:pgMar w:top="568" w:right="567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D48"/>
    <w:rsid w:val="00705FF6"/>
    <w:rsid w:val="0099121E"/>
    <w:rsid w:val="00A03FB2"/>
    <w:rsid w:val="00E61739"/>
    <w:rsid w:val="00F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32A6"/>
  <w15:docId w15:val="{95A94C35-7406-4E12-B17D-44FB42D2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widowControl w:val="0"/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1722</Words>
  <Characters>9304</Characters>
  <Application>Microsoft Office Word</Application>
  <DocSecurity>0</DocSecurity>
  <Lines>77</Lines>
  <Paragraphs>22</Paragraphs>
  <ScaleCrop>false</ScaleCrop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Guilherme Valente</cp:lastModifiedBy>
  <cp:revision>10</cp:revision>
  <dcterms:created xsi:type="dcterms:W3CDTF">2023-05-26T12:34:00Z</dcterms:created>
  <dcterms:modified xsi:type="dcterms:W3CDTF">2023-10-01T22:41:00Z</dcterms:modified>
</cp:coreProperties>
</file>