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385244" w14:textId="77777777" w:rsidR="00053035" w:rsidRDefault="00053035">
      <w:pPr>
        <w:spacing w:after="0"/>
        <w:rPr>
          <w:rFonts w:ascii="Times New Roman" w:eastAsia="Times New Roman" w:hAnsi="Times New Roman" w:cs="Times New Roman"/>
          <w:b/>
          <w:sz w:val="20"/>
          <w:szCs w:val="20"/>
        </w:rPr>
      </w:pPr>
    </w:p>
    <w:p w14:paraId="193B9669" w14:textId="3413BEEE" w:rsidR="00053035" w:rsidRDefault="00053035" w:rsidP="00053035">
      <w:pPr>
        <w:spacing w:after="0"/>
        <w:rPr>
          <w:rFonts w:ascii="Times New Roman" w:eastAsia="Times New Roman" w:hAnsi="Times New Roman" w:cs="Times New Roman"/>
          <w:b/>
          <w:sz w:val="20"/>
          <w:szCs w:val="20"/>
        </w:rPr>
      </w:pPr>
      <w:r>
        <w:rPr>
          <w:noProof/>
        </w:rPr>
        <w:drawing>
          <wp:inline distT="0" distB="0" distL="0" distR="0" wp14:anchorId="79B69C89" wp14:editId="6DA02762">
            <wp:extent cx="2755900" cy="866140"/>
            <wp:effectExtent l="0" t="0" r="6350" b="0"/>
            <wp:docPr id="322" name="Picture 322" descr="Texto&#10;&#10;Descrição gerada automaticamente"/>
            <wp:cNvGraphicFramePr/>
            <a:graphic xmlns:a="http://schemas.openxmlformats.org/drawingml/2006/main">
              <a:graphicData uri="http://schemas.openxmlformats.org/drawingml/2006/picture">
                <pic:pic xmlns:pic="http://schemas.openxmlformats.org/drawingml/2006/picture">
                  <pic:nvPicPr>
                    <pic:cNvPr id="322" name="Picture 322" descr="Texto&#10;&#10;Descrição gerada automaticamente"/>
                    <pic:cNvPicPr/>
                  </pic:nvPicPr>
                  <pic:blipFill>
                    <a:blip r:embed="rId4"/>
                    <a:stretch>
                      <a:fillRect/>
                    </a:stretch>
                  </pic:blipFill>
                  <pic:spPr>
                    <a:xfrm>
                      <a:off x="0" y="0"/>
                      <a:ext cx="2755900" cy="866140"/>
                    </a:xfrm>
                    <a:prstGeom prst="rect">
                      <a:avLst/>
                    </a:prstGeom>
                  </pic:spPr>
                </pic:pic>
              </a:graphicData>
            </a:graphic>
          </wp:inline>
        </w:drawing>
      </w:r>
    </w:p>
    <w:p w14:paraId="69586F28" w14:textId="77777777" w:rsidR="00053035" w:rsidRDefault="00053035" w:rsidP="00053035">
      <w:pPr>
        <w:spacing w:after="0"/>
        <w:rPr>
          <w:rFonts w:ascii="Times New Roman" w:eastAsia="Times New Roman" w:hAnsi="Times New Roman" w:cs="Times New Roman"/>
          <w:b/>
          <w:sz w:val="20"/>
          <w:szCs w:val="20"/>
        </w:rPr>
      </w:pPr>
    </w:p>
    <w:p w14:paraId="19F1A7AF" w14:textId="0980474A" w:rsidR="008634E7" w:rsidRDefault="00903B61">
      <w:pPr>
        <w:spacing w:after="0"/>
        <w:rPr>
          <w:rFonts w:ascii="Times New Roman" w:eastAsia="Times New Roman" w:hAnsi="Times New Roman" w:cs="Times New Roman"/>
          <w:sz w:val="20"/>
          <w:szCs w:val="20"/>
        </w:rPr>
      </w:pPr>
      <w:r>
        <w:rPr>
          <w:rFonts w:ascii="Times New Roman" w:eastAsia="Times New Roman" w:hAnsi="Times New Roman" w:cs="Times New Roman"/>
          <w:b/>
          <w:sz w:val="20"/>
          <w:szCs w:val="20"/>
        </w:rPr>
        <w:t>PROTOCOLO: _____________</w:t>
      </w:r>
      <w:proofErr w:type="gramStart"/>
      <w:r>
        <w:rPr>
          <w:rFonts w:ascii="Times New Roman" w:eastAsia="Times New Roman" w:hAnsi="Times New Roman" w:cs="Times New Roman"/>
          <w:b/>
          <w:sz w:val="20"/>
          <w:szCs w:val="20"/>
        </w:rPr>
        <w:t>_  MATRÍCULA</w:t>
      </w:r>
      <w:proofErr w:type="gramEnd"/>
      <w:r>
        <w:rPr>
          <w:rFonts w:ascii="Times New Roman" w:eastAsia="Times New Roman" w:hAnsi="Times New Roman" w:cs="Times New Roman"/>
          <w:b/>
          <w:sz w:val="20"/>
          <w:szCs w:val="20"/>
        </w:rPr>
        <w:t>(S): __________________________________________</w:t>
      </w:r>
    </w:p>
    <w:p w14:paraId="66BA9B1F" w14:textId="77777777" w:rsidR="008634E7" w:rsidRDefault="008634E7">
      <w:pPr>
        <w:spacing w:after="0"/>
        <w:rPr>
          <w:rFonts w:ascii="Times New Roman" w:eastAsia="Times New Roman" w:hAnsi="Times New Roman" w:cs="Times New Roman"/>
          <w:sz w:val="20"/>
          <w:szCs w:val="20"/>
          <w:u w:val="single"/>
        </w:rPr>
      </w:pPr>
    </w:p>
    <w:p w14:paraId="1FDDD718" w14:textId="77777777" w:rsidR="008634E7" w:rsidRDefault="00903B61">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SERVIDÃO - ESCRITURA PÚBLICA</w:t>
      </w:r>
    </w:p>
    <w:p w14:paraId="1C917D9A" w14:textId="77777777" w:rsidR="008634E7" w:rsidRDefault="008634E7">
      <w:pPr>
        <w:spacing w:after="0"/>
        <w:rPr>
          <w:rFonts w:ascii="Times New Roman" w:eastAsia="Times New Roman" w:hAnsi="Times New Roman" w:cs="Times New Roman"/>
          <w:b/>
          <w:sz w:val="20"/>
          <w:szCs w:val="20"/>
          <w:u w:val="single"/>
        </w:rPr>
      </w:pPr>
    </w:p>
    <w:tbl>
      <w:tblPr>
        <w:tblStyle w:val="a"/>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9"/>
        <w:gridCol w:w="8174"/>
        <w:gridCol w:w="610"/>
        <w:gridCol w:w="611"/>
      </w:tblGrid>
      <w:tr w:rsidR="008634E7" w14:paraId="7D2D5B51" w14:textId="77777777">
        <w:trPr>
          <w:trHeight w:val="255"/>
        </w:trPr>
        <w:tc>
          <w:tcPr>
            <w:tcW w:w="459" w:type="dxa"/>
          </w:tcPr>
          <w:p w14:paraId="148C342C" w14:textId="77777777" w:rsidR="008634E7" w:rsidRDefault="008634E7">
            <w:pPr>
              <w:spacing w:after="0"/>
              <w:jc w:val="both"/>
              <w:rPr>
                <w:rFonts w:ascii="Times New Roman" w:eastAsia="Times New Roman" w:hAnsi="Times New Roman" w:cs="Times New Roman"/>
                <w:sz w:val="20"/>
                <w:szCs w:val="20"/>
              </w:rPr>
            </w:pPr>
          </w:p>
        </w:tc>
        <w:tc>
          <w:tcPr>
            <w:tcW w:w="8174" w:type="dxa"/>
          </w:tcPr>
          <w:p w14:paraId="61BA2A70" w14:textId="77777777" w:rsidR="008634E7" w:rsidRDefault="008634E7">
            <w:pPr>
              <w:spacing w:after="0"/>
              <w:jc w:val="both"/>
              <w:rPr>
                <w:rFonts w:ascii="Times New Roman" w:eastAsia="Times New Roman" w:hAnsi="Times New Roman" w:cs="Times New Roman"/>
                <w:sz w:val="20"/>
                <w:szCs w:val="20"/>
              </w:rPr>
            </w:pPr>
          </w:p>
        </w:tc>
        <w:tc>
          <w:tcPr>
            <w:tcW w:w="610" w:type="dxa"/>
          </w:tcPr>
          <w:p w14:paraId="3DFAFC34"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Sim</w:t>
            </w:r>
          </w:p>
        </w:tc>
        <w:tc>
          <w:tcPr>
            <w:tcW w:w="611" w:type="dxa"/>
          </w:tcPr>
          <w:p w14:paraId="60AA37D9"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Não</w:t>
            </w:r>
          </w:p>
        </w:tc>
      </w:tr>
      <w:tr w:rsidR="008634E7" w14:paraId="3D6C875C" w14:textId="77777777">
        <w:tc>
          <w:tcPr>
            <w:tcW w:w="459" w:type="dxa"/>
          </w:tcPr>
          <w:p w14:paraId="50152A4F" w14:textId="77777777" w:rsidR="008634E7" w:rsidRDefault="00903B61">
            <w:pPr>
              <w:spacing w:after="0"/>
              <w:jc w:val="both"/>
              <w:rPr>
                <w:rFonts w:ascii="Times New Roman" w:eastAsia="Times New Roman" w:hAnsi="Times New Roman" w:cs="Times New Roman"/>
                <w:sz w:val="20"/>
                <w:szCs w:val="20"/>
              </w:rPr>
            </w:pPr>
            <w:bookmarkStart w:id="0" w:name="gjdgxs" w:colFirst="0" w:colLast="0"/>
            <w:bookmarkEnd w:id="0"/>
            <w:r>
              <w:rPr>
                <w:rFonts w:ascii="Times New Roman" w:eastAsia="Times New Roman" w:hAnsi="Times New Roman" w:cs="Times New Roman"/>
                <w:sz w:val="20"/>
                <w:szCs w:val="20"/>
              </w:rPr>
              <w:t>1</w:t>
            </w:r>
          </w:p>
        </w:tc>
        <w:tc>
          <w:tcPr>
            <w:tcW w:w="8174" w:type="dxa"/>
          </w:tcPr>
          <w:p w14:paraId="57050A84"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outra prenotação vinculada às matrículas objetos do presente título?</w:t>
            </w:r>
          </w:p>
          <w:p w14:paraId="7771406B"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conferência da prenotação deve ser realizada pelo campo “visualizar pendências do imóvel”, na aba de matrículas, quando da conferência inicial, do registro e da conferência final.</w:t>
            </w:r>
          </w:p>
          <w:p w14:paraId="4EC13A3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Se a resposta for positiva, devemos verificar se os títulos ou procedimentos prenotados impedem a inscrição do ato requerido ou se, não impedindo, qual deve ser inscrito anteriormente.</w:t>
            </w:r>
          </w:p>
          <w:p w14:paraId="65E40941"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haja divergência entre as matrículas constantes no título e as matrículas prenotadas no sistema, devemos corrigir a prenotação e anotar a correção manuscritamente no protocolo.</w:t>
            </w:r>
          </w:p>
          <w:p w14:paraId="7843ED4F"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11, 12, 174, 182, 186 e 190 da Lei 6.015/1973.</w:t>
            </w:r>
          </w:p>
        </w:tc>
        <w:tc>
          <w:tcPr>
            <w:tcW w:w="610" w:type="dxa"/>
          </w:tcPr>
          <w:p w14:paraId="60F3E2B6"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074D596E" w14:textId="77777777" w:rsidR="008634E7" w:rsidRDefault="008634E7">
            <w:pPr>
              <w:spacing w:after="0"/>
              <w:jc w:val="both"/>
              <w:rPr>
                <w:rFonts w:ascii="Times New Roman" w:eastAsia="Times New Roman" w:hAnsi="Times New Roman" w:cs="Times New Roman"/>
                <w:sz w:val="20"/>
                <w:szCs w:val="20"/>
              </w:rPr>
            </w:pPr>
          </w:p>
        </w:tc>
      </w:tr>
      <w:tr w:rsidR="008634E7" w14:paraId="4E6FE8E3" w14:textId="77777777">
        <w:tc>
          <w:tcPr>
            <w:tcW w:w="459" w:type="dxa"/>
          </w:tcPr>
          <w:p w14:paraId="0791A952"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8174" w:type="dxa"/>
          </w:tcPr>
          <w:p w14:paraId="7A195A8B"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 escritura apresentada é física ou digital?</w:t>
            </w:r>
          </w:p>
          <w:p w14:paraId="39B389B2" w14:textId="77777777" w:rsidR="008634E7" w:rsidRPr="00984425"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 escritura física, assinada manuscritamente, pode ser apresentada por meio do protocolo presencial, na via original ou em cópia autenticada, ou por meio do Serviço de Atendimento Eletrônico Compartilhado (SAEC), com cópia digitalizada, desde que seja possível conferir a autenticidade por meio do </w:t>
            </w:r>
            <w:r w:rsidRPr="00984425">
              <w:rPr>
                <w:rFonts w:ascii="Times New Roman" w:eastAsia="Times New Roman" w:hAnsi="Times New Roman" w:cs="Times New Roman"/>
                <w:sz w:val="20"/>
                <w:szCs w:val="20"/>
              </w:rPr>
              <w:t>selo de fiscalização.</w:t>
            </w:r>
          </w:p>
          <w:p w14:paraId="37B64D9A" w14:textId="77777777" w:rsidR="008634E7" w:rsidRPr="00984425" w:rsidRDefault="00903B61">
            <w:pPr>
              <w:spacing w:after="0"/>
              <w:jc w:val="both"/>
              <w:rPr>
                <w:rFonts w:ascii="Times New Roman" w:eastAsia="Times New Roman" w:hAnsi="Times New Roman" w:cs="Times New Roman"/>
                <w:sz w:val="20"/>
                <w:szCs w:val="20"/>
              </w:rPr>
            </w:pPr>
            <w:r w:rsidRPr="00984425">
              <w:rPr>
                <w:rFonts w:ascii="Times New Roman" w:eastAsia="Times New Roman" w:hAnsi="Times New Roman" w:cs="Times New Roman"/>
                <w:sz w:val="20"/>
                <w:szCs w:val="20"/>
                <w:u w:val="single"/>
              </w:rPr>
              <w:t>Fundamento</w:t>
            </w:r>
            <w:r w:rsidRPr="00984425">
              <w:rPr>
                <w:rFonts w:ascii="Times New Roman" w:eastAsia="Times New Roman" w:hAnsi="Times New Roman" w:cs="Times New Roman"/>
                <w:sz w:val="20"/>
                <w:szCs w:val="20"/>
              </w:rPr>
              <w:t xml:space="preserve">: artigos 650-A e 658 do </w:t>
            </w:r>
            <w:r w:rsidR="00984425" w:rsidRPr="00984425">
              <w:rPr>
                <w:rFonts w:ascii="Times New Roman" w:eastAsia="Times New Roman" w:hAnsi="Times New Roman" w:cs="Times New Roman"/>
                <w:sz w:val="20"/>
                <w:szCs w:val="20"/>
              </w:rPr>
              <w:t>CNCGJ/SC</w:t>
            </w:r>
            <w:r w:rsidRPr="00984425">
              <w:rPr>
                <w:rFonts w:ascii="Times New Roman" w:eastAsia="Times New Roman" w:hAnsi="Times New Roman" w:cs="Times New Roman"/>
                <w:sz w:val="20"/>
                <w:szCs w:val="20"/>
              </w:rPr>
              <w:t>.</w:t>
            </w:r>
          </w:p>
          <w:p w14:paraId="67CBE1E9"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 escritura digital deve ser assinada com o uso de certificado emitido com os requisitos da Infraestrutura de Chaves Públicas Brasileira (ICP-Brasil) ou do </w:t>
            </w:r>
            <w:r>
              <w:rPr>
                <w:rFonts w:ascii="Times New Roman" w:eastAsia="Times New Roman" w:hAnsi="Times New Roman" w:cs="Times New Roman"/>
                <w:i/>
                <w:sz w:val="20"/>
                <w:szCs w:val="20"/>
              </w:rPr>
              <w:t>e</w:t>
            </w:r>
            <w:r>
              <w:rPr>
                <w:rFonts w:ascii="Times New Roman" w:eastAsia="Times New Roman" w:hAnsi="Times New Roman" w:cs="Times New Roman"/>
                <w:sz w:val="20"/>
                <w:szCs w:val="20"/>
              </w:rPr>
              <w:t>-Notariado.</w:t>
            </w:r>
          </w:p>
          <w:p w14:paraId="13A6A71A"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10, parágrafo 2º da Medida Provisória 2.200-2/2001, artigo 12 do Provimento 89/2019 do CNJ e artigos 9º, parágrafo 5º e 29 do Provimento 100/2020 do CNJ.</w:t>
            </w:r>
          </w:p>
        </w:tc>
        <w:tc>
          <w:tcPr>
            <w:tcW w:w="610" w:type="dxa"/>
          </w:tcPr>
          <w:p w14:paraId="7B6542CB"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76C06858" w14:textId="77777777" w:rsidR="008634E7" w:rsidRDefault="008634E7">
            <w:pPr>
              <w:spacing w:after="0"/>
              <w:jc w:val="both"/>
              <w:rPr>
                <w:rFonts w:ascii="Times New Roman" w:eastAsia="Times New Roman" w:hAnsi="Times New Roman" w:cs="Times New Roman"/>
                <w:sz w:val="20"/>
                <w:szCs w:val="20"/>
              </w:rPr>
            </w:pPr>
          </w:p>
        </w:tc>
      </w:tr>
      <w:tr w:rsidR="008634E7" w14:paraId="382F8644" w14:textId="77777777">
        <w:tc>
          <w:tcPr>
            <w:tcW w:w="459" w:type="dxa"/>
          </w:tcPr>
          <w:p w14:paraId="36461C1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8174" w:type="dxa"/>
          </w:tcPr>
          <w:p w14:paraId="3AB16199"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confirmada a procedência, autenticidade e eficácia da escritura apresentada?</w:t>
            </w:r>
          </w:p>
          <w:p w14:paraId="41F9F4FC"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a escritura tenha sido lavrada por tabelião do Estado de Santa Catarina, devemos realizar a confirmação pelo site do TJ/SC, no</w:t>
            </w:r>
            <w:r>
              <w:rPr>
                <w:rFonts w:ascii="Times New Roman" w:eastAsia="Times New Roman" w:hAnsi="Times New Roman" w:cs="Times New Roman"/>
                <w:i/>
                <w:sz w:val="20"/>
                <w:szCs w:val="20"/>
              </w:rPr>
              <w:t xml:space="preserve"> link</w:t>
            </w:r>
            <w:r>
              <w:rPr>
                <w:rFonts w:ascii="Times New Roman" w:eastAsia="Times New Roman" w:hAnsi="Times New Roman" w:cs="Times New Roman"/>
                <w:sz w:val="20"/>
                <w:szCs w:val="20"/>
              </w:rPr>
              <w:t xml:space="preserve"> do selo digital.</w:t>
            </w:r>
          </w:p>
          <w:p w14:paraId="2D384F8C"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Caso a escritura tenha sido lavrada por tabelião de outro Estado da Federação, devemos gerar um arquivo com o cadastro da serventia no </w:t>
            </w:r>
            <w:r>
              <w:rPr>
                <w:rFonts w:ascii="Times New Roman" w:eastAsia="Times New Roman" w:hAnsi="Times New Roman" w:cs="Times New Roman"/>
                <w:i/>
                <w:sz w:val="20"/>
                <w:szCs w:val="20"/>
              </w:rPr>
              <w:t>site</w:t>
            </w:r>
            <w:r>
              <w:rPr>
                <w:rFonts w:ascii="Times New Roman" w:eastAsia="Times New Roman" w:hAnsi="Times New Roman" w:cs="Times New Roman"/>
                <w:sz w:val="20"/>
                <w:szCs w:val="20"/>
              </w:rPr>
              <w:t xml:space="preserve"> do CNJ e realizar o procedimento de confirmação da autenticidade e eficácia. </w:t>
            </w:r>
          </w:p>
          <w:p w14:paraId="64508C31"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artigos 490 e 645 do </w:t>
            </w:r>
            <w:r w:rsidR="00984425">
              <w:rPr>
                <w:rFonts w:ascii="Times New Roman" w:eastAsia="Times New Roman" w:hAnsi="Times New Roman" w:cs="Times New Roman"/>
                <w:sz w:val="20"/>
                <w:szCs w:val="20"/>
              </w:rPr>
              <w:t>CNCGJ/SC.</w:t>
            </w:r>
          </w:p>
        </w:tc>
        <w:tc>
          <w:tcPr>
            <w:tcW w:w="610" w:type="dxa"/>
          </w:tcPr>
          <w:p w14:paraId="011F27F2"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234C10DC" w14:textId="77777777" w:rsidR="008634E7" w:rsidRDefault="008634E7">
            <w:pPr>
              <w:spacing w:after="0"/>
              <w:jc w:val="both"/>
              <w:rPr>
                <w:rFonts w:ascii="Times New Roman" w:eastAsia="Times New Roman" w:hAnsi="Times New Roman" w:cs="Times New Roman"/>
                <w:sz w:val="20"/>
                <w:szCs w:val="20"/>
              </w:rPr>
            </w:pPr>
          </w:p>
        </w:tc>
      </w:tr>
      <w:tr w:rsidR="008634E7" w14:paraId="29F3906E" w14:textId="77777777">
        <w:tc>
          <w:tcPr>
            <w:tcW w:w="459" w:type="dxa"/>
          </w:tcPr>
          <w:p w14:paraId="123EA27B"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c>
          <w:tcPr>
            <w:tcW w:w="8174" w:type="dxa"/>
          </w:tcPr>
          <w:p w14:paraId="07EBF44C"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na escritura a qualificação completa dos outorgantes?</w:t>
            </w:r>
          </w:p>
          <w:p w14:paraId="0207B026"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Os outorgantes são os proprietários do imóvel serviente, que será gravado com a servidão.</w:t>
            </w:r>
          </w:p>
          <w:p w14:paraId="7BFD5F8B" w14:textId="77777777" w:rsidR="009165FA" w:rsidRPr="00D24F01" w:rsidRDefault="009165FA" w:rsidP="009165FA">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Os elementos mínimos para qualificação das pessoas físicas são: nome, nacionalidade, profissão, data de nascimento, estado civil, carteira de identidade, CPF e endereço.</w:t>
            </w:r>
          </w:p>
          <w:p w14:paraId="42474B1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Os elementos mínimos para qualificação de uma pessoa jurídica são: denominação social, CNPJ, sede e representantes.</w:t>
            </w:r>
          </w:p>
          <w:p w14:paraId="44196C6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Se os transmitentes forem casados por um regime diverso do legal deve constar na escritura o registro do pacto antenupcial. </w:t>
            </w:r>
          </w:p>
          <w:p w14:paraId="1E618A16"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176, parágrafo 1º, inciso III, item 2, alíneas “a” e “b” da Lei 6.015/1973 e artigo 476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w:t>
            </w:r>
          </w:p>
          <w:p w14:paraId="1EFB2478"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Quando os outorgantes forem pessoas físicas casadas, é necessária a autorização do outro cônjuge para onerar os bens imóveis, salvo se for adotado o regime da separação de bens ou se, adotado o regime da participação final nos aquestos, houver estipulação expressa no pacto antenupcial sobre a livre disposição dos bens.</w:t>
            </w:r>
          </w:p>
          <w:p w14:paraId="23B2C518"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1.647, inciso I, 1.656 e 1.687 do Código Civil.</w:t>
            </w:r>
          </w:p>
        </w:tc>
        <w:tc>
          <w:tcPr>
            <w:tcW w:w="610" w:type="dxa"/>
          </w:tcPr>
          <w:p w14:paraId="1C3FF7B9"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5D0F2B0E" w14:textId="77777777" w:rsidR="008634E7" w:rsidRDefault="008634E7">
            <w:pPr>
              <w:spacing w:after="0"/>
              <w:jc w:val="both"/>
              <w:rPr>
                <w:rFonts w:ascii="Times New Roman" w:eastAsia="Times New Roman" w:hAnsi="Times New Roman" w:cs="Times New Roman"/>
                <w:sz w:val="20"/>
                <w:szCs w:val="20"/>
              </w:rPr>
            </w:pPr>
          </w:p>
        </w:tc>
      </w:tr>
      <w:tr w:rsidR="008634E7" w14:paraId="55C67C0C" w14:textId="77777777">
        <w:tc>
          <w:tcPr>
            <w:tcW w:w="459" w:type="dxa"/>
          </w:tcPr>
          <w:p w14:paraId="7FF8855A"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8174" w:type="dxa"/>
          </w:tcPr>
          <w:p w14:paraId="7C20D324"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Caso os outorgantes sejam pessoas físicas não casadas (solteiro, separado, divorciado ou viúvo), consta na escritura a declaração de união estável?</w:t>
            </w:r>
          </w:p>
          <w:p w14:paraId="1250F940"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conviva em união estável deve constar a qualificação completa do companheiro e o regime de bens que vigora na união estável.</w:t>
            </w:r>
          </w:p>
          <w:p w14:paraId="4776D8C0"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declaração, quando negativa, deve constar expressamente na escritura.</w:t>
            </w:r>
          </w:p>
          <w:p w14:paraId="3566290C"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Quando não pactuado regime de bens na união estável, vigora entre os companheiros o regime da comunhão parcial de bens, motivo pelo qual o companheiro deve figurar na escritura como interveniente anuente.</w:t>
            </w:r>
          </w:p>
          <w:p w14:paraId="2B418F65"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Quando pactuado o regime da comunhão universal de bens na união estável, o companheiro deve figurar na escritura como outorgante.</w:t>
            </w:r>
          </w:p>
          <w:p w14:paraId="0D26EDF6"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Quando pactuado o regime da separação de bens na união estável, o companheiro não precisa assinar a escritura como interveniente anuente. </w:t>
            </w:r>
          </w:p>
          <w:p w14:paraId="2983A8CC" w14:textId="77777777" w:rsidR="008634E7" w:rsidRDefault="00903B61">
            <w:pPr>
              <w:spacing w:after="0"/>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Provimento 6/2003 da CGJ/SC e artigo 1.647, inciso II do Código Civil.</w:t>
            </w:r>
          </w:p>
          <w:p w14:paraId="3AEF56F4"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Quando os outorgantes declararem conviver em união estável e essa informação não constar na </w:t>
            </w:r>
            <w:r>
              <w:rPr>
                <w:rFonts w:ascii="Times New Roman" w:eastAsia="Times New Roman" w:hAnsi="Times New Roman" w:cs="Times New Roman"/>
                <w:sz w:val="20"/>
                <w:szCs w:val="20"/>
              </w:rPr>
              <w:lastRenderedPageBreak/>
              <w:t>matrícula do imóvel (aquisição anterior), é necessário averbar a união estável antes do registro da escritura.</w:t>
            </w:r>
          </w:p>
          <w:p w14:paraId="0AE79500"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Quando na matrícula do imóvel (aquisição anterior) constar a existência de união estável e na escritura os outorgantes declararem não conviver, é necessário averbar a dissolução da união estável.</w:t>
            </w:r>
          </w:p>
          <w:p w14:paraId="714BE9FA"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artigos 685, inciso VIII e 687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 artigos 1º e 5º da Lei 9.278/1996, artigos 1.723 e 1.725 do Código Civil, artigo 226, parágrafo 3º da Constituição Federal e artigos 167, inciso II, itens 1, 5 e 10, 169, 195 e 237 da Lei 6.015/1973.</w:t>
            </w:r>
          </w:p>
        </w:tc>
        <w:tc>
          <w:tcPr>
            <w:tcW w:w="610" w:type="dxa"/>
          </w:tcPr>
          <w:p w14:paraId="085C18E1"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5033295C" w14:textId="77777777" w:rsidR="008634E7" w:rsidRDefault="008634E7">
            <w:pPr>
              <w:spacing w:after="0"/>
              <w:jc w:val="both"/>
              <w:rPr>
                <w:rFonts w:ascii="Times New Roman" w:eastAsia="Times New Roman" w:hAnsi="Times New Roman" w:cs="Times New Roman"/>
                <w:sz w:val="20"/>
                <w:szCs w:val="20"/>
              </w:rPr>
            </w:pPr>
          </w:p>
        </w:tc>
      </w:tr>
      <w:tr w:rsidR="008634E7" w14:paraId="5C03AD83" w14:textId="77777777">
        <w:tc>
          <w:tcPr>
            <w:tcW w:w="459" w:type="dxa"/>
          </w:tcPr>
          <w:p w14:paraId="3A91B918"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8174" w:type="dxa"/>
          </w:tcPr>
          <w:p w14:paraId="0376944E"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Deve ser efetuada alguma averbação referente à qualificação dos outorgantes (retificação de dados de qualificação, casamento, separação, divórcio, alteração da razão social, dissolução de união estável, etc.)?</w:t>
            </w:r>
          </w:p>
          <w:p w14:paraId="77242BDB" w14:textId="00AD503D" w:rsidR="00F1244C" w:rsidRPr="00D24F01" w:rsidRDefault="00F1244C" w:rsidP="00F1244C">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Caso seja necessário deverá proceder a averbação de qualificação subjetiva previamente, com exceção de títulos de outras natureza</w:t>
            </w:r>
            <w:r w:rsidR="00053035">
              <w:rPr>
                <w:rFonts w:ascii="Times New Roman" w:eastAsia="Times New Roman" w:hAnsi="Times New Roman" w:cs="Times New Roman"/>
                <w:sz w:val="20"/>
                <w:szCs w:val="20"/>
              </w:rPr>
              <w:t>s</w:t>
            </w:r>
            <w:r w:rsidRPr="00D24F01">
              <w:rPr>
                <w:rFonts w:ascii="Times New Roman" w:eastAsia="Times New Roman" w:hAnsi="Times New Roman" w:cs="Times New Roman"/>
                <w:sz w:val="20"/>
                <w:szCs w:val="20"/>
              </w:rPr>
              <w:t xml:space="preserve"> que deverão seguir em prenotação própria.</w:t>
            </w:r>
          </w:p>
          <w:p w14:paraId="41B36140" w14:textId="77777777" w:rsidR="00F1244C" w:rsidRPr="00D24F01" w:rsidRDefault="00F1244C" w:rsidP="00F1244C">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A averbação de retificação pode ser realizada com base na própria escritura, quando os dados necessários constarem expressamente.</w:t>
            </w:r>
          </w:p>
          <w:p w14:paraId="19A6B549" w14:textId="77777777" w:rsidR="008634E7" w:rsidRPr="00B07379" w:rsidRDefault="00F1244C">
            <w:pPr>
              <w:spacing w:after="0"/>
              <w:jc w:val="both"/>
              <w:rPr>
                <w:rFonts w:ascii="Times New Roman" w:hAnsi="Times New Roman" w:cs="Times New Roman"/>
                <w:sz w:val="20"/>
                <w:szCs w:val="20"/>
              </w:rPr>
            </w:pPr>
            <w:r w:rsidRPr="00D24F01">
              <w:rPr>
                <w:rFonts w:ascii="Times New Roman" w:eastAsia="Times New Roman" w:hAnsi="Times New Roman" w:cs="Times New Roman"/>
                <w:sz w:val="20"/>
                <w:szCs w:val="20"/>
                <w:u w:val="single"/>
              </w:rPr>
              <w:t>Fundamento</w:t>
            </w:r>
            <w:r w:rsidRPr="00D24F01">
              <w:rPr>
                <w:rFonts w:ascii="Times New Roman" w:eastAsia="Times New Roman" w:hAnsi="Times New Roman" w:cs="Times New Roman"/>
                <w:sz w:val="20"/>
                <w:szCs w:val="20"/>
              </w:rPr>
              <w:t>: artigos 167, inciso II e 176, parágrafo 1º, inciso II, item 4, inciso III, item 2 e 213, inciso I, alínea “g” da Lei 6.015/1973 e artigo 688, parágrafo 6º do CNCGJ/SC.</w:t>
            </w:r>
          </w:p>
        </w:tc>
        <w:tc>
          <w:tcPr>
            <w:tcW w:w="610" w:type="dxa"/>
          </w:tcPr>
          <w:p w14:paraId="2B856D9D"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38CAED70" w14:textId="77777777" w:rsidR="008634E7" w:rsidRDefault="008634E7">
            <w:pPr>
              <w:spacing w:after="0"/>
              <w:jc w:val="both"/>
              <w:rPr>
                <w:rFonts w:ascii="Times New Roman" w:eastAsia="Times New Roman" w:hAnsi="Times New Roman" w:cs="Times New Roman"/>
                <w:sz w:val="20"/>
                <w:szCs w:val="20"/>
              </w:rPr>
            </w:pPr>
          </w:p>
        </w:tc>
      </w:tr>
      <w:tr w:rsidR="008634E7" w14:paraId="5BD2560F" w14:textId="77777777">
        <w:trPr>
          <w:trHeight w:val="1273"/>
        </w:trPr>
        <w:tc>
          <w:tcPr>
            <w:tcW w:w="459" w:type="dxa"/>
          </w:tcPr>
          <w:p w14:paraId="142473E7"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8174" w:type="dxa"/>
          </w:tcPr>
          <w:p w14:paraId="557F1B51"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na escritura a qualificação completa dos outorgados?</w:t>
            </w:r>
          </w:p>
          <w:p w14:paraId="0847C753"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rPr>
              <w:t>- Os outorgados são os proprietários do imóvel dominante. O imóvel dominante é aquele que será beneficiado com a servidão.</w:t>
            </w:r>
          </w:p>
          <w:p w14:paraId="44B666E9" w14:textId="77777777" w:rsidR="001C75A5" w:rsidRPr="00D24F01" w:rsidRDefault="001C75A5" w:rsidP="001C75A5">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Os elementos mínimos para qualificação das pessoas físicas são: nome, nacionalidade, profissão, data de nascimento, estado civil, carteira de identidade, CPF e endereço.</w:t>
            </w:r>
          </w:p>
          <w:p w14:paraId="2496D57C"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Os elementos mínimos para qualificação de uma pessoa jurídica são: denominação social, CNPJ e sede.</w:t>
            </w:r>
          </w:p>
          <w:p w14:paraId="4988AB8C"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Se os adquirentes forem casados por um regime diverso do legal, deve constar na escritura o registro do pacto antenupcial. </w:t>
            </w:r>
          </w:p>
          <w:p w14:paraId="1B29E7DD"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176, parágrafo 1º, inciso III, item 2, alíneas “a” e “b” da Lei 6.015/1973 e artigo 476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w:t>
            </w:r>
          </w:p>
        </w:tc>
        <w:tc>
          <w:tcPr>
            <w:tcW w:w="610" w:type="dxa"/>
          </w:tcPr>
          <w:p w14:paraId="31B0C022"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64C7B0B1" w14:textId="77777777" w:rsidR="008634E7" w:rsidRDefault="008634E7">
            <w:pPr>
              <w:spacing w:after="0"/>
              <w:jc w:val="both"/>
              <w:rPr>
                <w:rFonts w:ascii="Times New Roman" w:eastAsia="Times New Roman" w:hAnsi="Times New Roman" w:cs="Times New Roman"/>
                <w:sz w:val="20"/>
                <w:szCs w:val="20"/>
              </w:rPr>
            </w:pPr>
          </w:p>
        </w:tc>
      </w:tr>
      <w:tr w:rsidR="008634E7" w14:paraId="5E1C7518" w14:textId="77777777">
        <w:tc>
          <w:tcPr>
            <w:tcW w:w="459" w:type="dxa"/>
          </w:tcPr>
          <w:p w14:paraId="2F3C5C89"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8174" w:type="dxa"/>
          </w:tcPr>
          <w:p w14:paraId="39B6BA81"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na escritura as descrições dos imóveis dominante e serviente e da área da servidão?</w:t>
            </w:r>
          </w:p>
          <w:p w14:paraId="321DAC53"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os imóveis já tenham matrículas próprias, pode ser consignado no título somente a localização completa e o número das matrículas, não havendo necessidade da transcrição completa.</w:t>
            </w:r>
          </w:p>
          <w:p w14:paraId="3768AE3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2º, parágrafo 1º da Lei 7.433/1985 e artigo 222 da Lei 6.015/1973.</w:t>
            </w:r>
          </w:p>
          <w:p w14:paraId="45F13BF1"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rPr>
              <w:t xml:space="preserve">- Em alguns casos, pode ocorrer do imóvel serviente ou do imóvel dominante não ter registro, como nas hipóteses de servidão para cabos de energia elétrica, servidão para acesso à praia, ou, ainda, na hipótese do imóvel dominante ser de posse. </w:t>
            </w:r>
          </w:p>
        </w:tc>
        <w:tc>
          <w:tcPr>
            <w:tcW w:w="610" w:type="dxa"/>
          </w:tcPr>
          <w:p w14:paraId="529567F6"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48C23949" w14:textId="77777777" w:rsidR="008634E7" w:rsidRDefault="008634E7">
            <w:pPr>
              <w:spacing w:after="0"/>
              <w:jc w:val="both"/>
              <w:rPr>
                <w:rFonts w:ascii="Times New Roman" w:eastAsia="Times New Roman" w:hAnsi="Times New Roman" w:cs="Times New Roman"/>
                <w:sz w:val="20"/>
                <w:szCs w:val="20"/>
              </w:rPr>
            </w:pPr>
          </w:p>
        </w:tc>
      </w:tr>
      <w:tr w:rsidR="008634E7" w14:paraId="114A2364" w14:textId="77777777">
        <w:tc>
          <w:tcPr>
            <w:tcW w:w="459" w:type="dxa"/>
          </w:tcPr>
          <w:p w14:paraId="04C4EFD1"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74" w:type="dxa"/>
          </w:tcPr>
          <w:p w14:paraId="1230CD17"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apresentada a planta do levantamento topográfico?</w:t>
            </w:r>
          </w:p>
          <w:p w14:paraId="7538AC9D"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Na planta deve conter as descrições do imóvel dominante, do imóvel serviente e da área objeto da servidão.</w:t>
            </w:r>
          </w:p>
          <w:p w14:paraId="1A430B42"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planta deve ser apresentada na via original, com as assinaturas dos proprietários e do responsável técnico.</w:t>
            </w:r>
          </w:p>
          <w:p w14:paraId="19139F26"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176, parágrafo 1º, inciso II, item 3, alíneas “a” e “b” e 225 da Lei 6.015/1973.</w:t>
            </w:r>
          </w:p>
        </w:tc>
        <w:tc>
          <w:tcPr>
            <w:tcW w:w="610" w:type="dxa"/>
          </w:tcPr>
          <w:p w14:paraId="20CD22D0"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78BD4D44" w14:textId="77777777" w:rsidR="008634E7" w:rsidRDefault="008634E7">
            <w:pPr>
              <w:spacing w:after="0"/>
              <w:jc w:val="both"/>
              <w:rPr>
                <w:rFonts w:ascii="Times New Roman" w:eastAsia="Times New Roman" w:hAnsi="Times New Roman" w:cs="Times New Roman"/>
                <w:sz w:val="20"/>
                <w:szCs w:val="20"/>
              </w:rPr>
            </w:pPr>
          </w:p>
        </w:tc>
      </w:tr>
      <w:tr w:rsidR="008634E7" w14:paraId="49C19E4A" w14:textId="77777777">
        <w:tc>
          <w:tcPr>
            <w:tcW w:w="459" w:type="dxa"/>
          </w:tcPr>
          <w:p w14:paraId="643C6634"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8174" w:type="dxa"/>
          </w:tcPr>
          <w:p w14:paraId="7C29BF8A"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apresentado o memorial descritivo?</w:t>
            </w:r>
          </w:p>
          <w:p w14:paraId="68A60B7D"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No memorial deve conter as descrições do imóvel dominante, do imóvel serviente e da área objeto da servidão.</w:t>
            </w:r>
          </w:p>
          <w:p w14:paraId="4513AC14"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 memorial deve ser apresentado na via original, com as assinaturas dos proprietários e do responsável técnico.</w:t>
            </w:r>
          </w:p>
          <w:p w14:paraId="1EBD43CC" w14:textId="77777777" w:rsidR="008634E7" w:rsidRDefault="00903B61">
            <w:pPr>
              <w:tabs>
                <w:tab w:val="left" w:pos="1162"/>
                <w:tab w:val="left" w:pos="4248"/>
                <w:tab w:val="left" w:pos="4956"/>
                <w:tab w:val="left" w:pos="5664"/>
                <w:tab w:val="left" w:pos="6372"/>
                <w:tab w:val="left" w:pos="7080"/>
                <w:tab w:val="left" w:pos="7788"/>
                <w:tab w:val="left" w:pos="8496"/>
                <w:tab w:val="left" w:pos="9204"/>
              </w:tabs>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176, parágrafo 1º, inciso II, item 3, alíneas “a” e “b” e 225 da Lei 6.015/1973.</w:t>
            </w:r>
          </w:p>
        </w:tc>
        <w:tc>
          <w:tcPr>
            <w:tcW w:w="610" w:type="dxa"/>
          </w:tcPr>
          <w:p w14:paraId="5DDEBC5A"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44ECC154" w14:textId="77777777" w:rsidR="008634E7" w:rsidRDefault="008634E7">
            <w:pPr>
              <w:spacing w:after="0"/>
              <w:jc w:val="both"/>
              <w:rPr>
                <w:rFonts w:ascii="Times New Roman" w:eastAsia="Times New Roman" w:hAnsi="Times New Roman" w:cs="Times New Roman"/>
                <w:sz w:val="20"/>
                <w:szCs w:val="20"/>
              </w:rPr>
            </w:pPr>
          </w:p>
        </w:tc>
      </w:tr>
      <w:tr w:rsidR="008634E7" w14:paraId="4BAF50F7" w14:textId="77777777">
        <w:tc>
          <w:tcPr>
            <w:tcW w:w="459" w:type="dxa"/>
          </w:tcPr>
          <w:p w14:paraId="23E25081"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8174" w:type="dxa"/>
          </w:tcPr>
          <w:p w14:paraId="3C37339D" w14:textId="77777777" w:rsidR="008634E7" w:rsidRDefault="00903B61">
            <w:pPr>
              <w:spacing w:after="0" w:line="276" w:lineRule="auto"/>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Foi apresentada a anotação de responsabilidade técnica referente ao levantamento topográfico?</w:t>
            </w:r>
          </w:p>
          <w:p w14:paraId="2CC3E434" w14:textId="77777777" w:rsidR="008634E7" w:rsidRDefault="00903B61">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Devemos conferir se os dados mencionados na anotação de responsabilidade são relativos ao trabalho técnico realizado, assim como, conferir a autenticidade da anotação de responsabilidade no </w:t>
            </w:r>
            <w:r>
              <w:rPr>
                <w:rFonts w:ascii="Times New Roman" w:eastAsia="Times New Roman" w:hAnsi="Times New Roman" w:cs="Times New Roman"/>
                <w:i/>
                <w:sz w:val="20"/>
                <w:szCs w:val="20"/>
              </w:rPr>
              <w:t>site</w:t>
            </w:r>
            <w:r>
              <w:rPr>
                <w:rFonts w:ascii="Times New Roman" w:eastAsia="Times New Roman" w:hAnsi="Times New Roman" w:cs="Times New Roman"/>
                <w:sz w:val="20"/>
                <w:szCs w:val="20"/>
              </w:rPr>
              <w:t xml:space="preserve"> do respectivo conselho profissional.</w:t>
            </w:r>
          </w:p>
          <w:p w14:paraId="72167462" w14:textId="77777777" w:rsidR="008634E7" w:rsidRDefault="00903B61">
            <w:pPr>
              <w:spacing w:after="0" w:line="276"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Não é necessário o reconhecimento de firma.</w:t>
            </w:r>
          </w:p>
          <w:p w14:paraId="627BB71B"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618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w:t>
            </w:r>
          </w:p>
        </w:tc>
        <w:tc>
          <w:tcPr>
            <w:tcW w:w="610" w:type="dxa"/>
          </w:tcPr>
          <w:p w14:paraId="3F2C690A"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25C6837E" w14:textId="77777777" w:rsidR="008634E7" w:rsidRDefault="008634E7">
            <w:pPr>
              <w:spacing w:after="0"/>
              <w:jc w:val="both"/>
              <w:rPr>
                <w:rFonts w:ascii="Times New Roman" w:eastAsia="Times New Roman" w:hAnsi="Times New Roman" w:cs="Times New Roman"/>
                <w:sz w:val="20"/>
                <w:szCs w:val="20"/>
              </w:rPr>
            </w:pPr>
          </w:p>
        </w:tc>
      </w:tr>
      <w:tr w:rsidR="008634E7" w14:paraId="292F304B" w14:textId="77777777">
        <w:tc>
          <w:tcPr>
            <w:tcW w:w="459" w:type="dxa"/>
          </w:tcPr>
          <w:p w14:paraId="1FC1E58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174" w:type="dxa"/>
          </w:tcPr>
          <w:p w14:paraId="6C90398C"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Deve ser efetuada alguma averbação referente aos imóveis dominante e serviente (inscrição imobiliária, construção, logradouro)?</w:t>
            </w:r>
          </w:p>
          <w:p w14:paraId="73FC9C34" w14:textId="13EBED8F" w:rsidR="00260A10" w:rsidRPr="00D24F01" w:rsidRDefault="00260A10" w:rsidP="00260A10">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Caso seja necessário deverá proceder a averbação de qualificação objetiva previamente, com exceção de títulos de outras natureza</w:t>
            </w:r>
            <w:r w:rsidR="00053035">
              <w:rPr>
                <w:rFonts w:ascii="Times New Roman" w:eastAsia="Times New Roman" w:hAnsi="Times New Roman" w:cs="Times New Roman"/>
                <w:sz w:val="20"/>
                <w:szCs w:val="20"/>
              </w:rPr>
              <w:t>s</w:t>
            </w:r>
            <w:r w:rsidRPr="00D24F01">
              <w:rPr>
                <w:rFonts w:ascii="Times New Roman" w:eastAsia="Times New Roman" w:hAnsi="Times New Roman" w:cs="Times New Roman"/>
                <w:sz w:val="20"/>
                <w:szCs w:val="20"/>
              </w:rPr>
              <w:t xml:space="preserve"> que deverão seguir em prenotação própria.</w:t>
            </w:r>
          </w:p>
          <w:p w14:paraId="3D0169E8" w14:textId="77777777" w:rsidR="00260A10" w:rsidRPr="00D24F01" w:rsidRDefault="00260A10" w:rsidP="00260A10">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Algumas averbações (ex.: inscrição imobiliária, logradouro, etc.) podem ser realizadas com base na própria escritura, quando os dados necessários constarem expressamente.</w:t>
            </w:r>
          </w:p>
          <w:p w14:paraId="7A48BC39" w14:textId="77777777" w:rsidR="008634E7" w:rsidRDefault="00260A10">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u w:val="single"/>
              </w:rPr>
              <w:t>Fundamento</w:t>
            </w:r>
            <w:r w:rsidRPr="00D24F01">
              <w:rPr>
                <w:rFonts w:ascii="Times New Roman" w:eastAsia="Times New Roman" w:hAnsi="Times New Roman" w:cs="Times New Roman"/>
                <w:sz w:val="20"/>
                <w:szCs w:val="20"/>
              </w:rPr>
              <w:t>: artigos 176, parágrafo 1º, inciso II, item 3, alíneas “a” e “b”, 212, 213 e 225, todos da Lei 6.015/1973 e artigo 688, parágrafo 6º do CNCGJ/SC.</w:t>
            </w:r>
          </w:p>
        </w:tc>
        <w:tc>
          <w:tcPr>
            <w:tcW w:w="610" w:type="dxa"/>
          </w:tcPr>
          <w:p w14:paraId="5369D9D5"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1ED6956D" w14:textId="77777777" w:rsidR="008634E7" w:rsidRDefault="008634E7">
            <w:pPr>
              <w:spacing w:after="0"/>
              <w:jc w:val="both"/>
              <w:rPr>
                <w:rFonts w:ascii="Times New Roman" w:eastAsia="Times New Roman" w:hAnsi="Times New Roman" w:cs="Times New Roman"/>
                <w:sz w:val="20"/>
                <w:szCs w:val="20"/>
              </w:rPr>
            </w:pPr>
          </w:p>
        </w:tc>
      </w:tr>
      <w:tr w:rsidR="008634E7" w14:paraId="1D85FD79" w14:textId="77777777">
        <w:tc>
          <w:tcPr>
            <w:tcW w:w="459" w:type="dxa"/>
          </w:tcPr>
          <w:p w14:paraId="125C81D8"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w:t>
            </w:r>
          </w:p>
        </w:tc>
        <w:tc>
          <w:tcPr>
            <w:tcW w:w="8174" w:type="dxa"/>
          </w:tcPr>
          <w:p w14:paraId="01EDF1B9"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Os imóveis são urbanos?</w:t>
            </w:r>
          </w:p>
          <w:p w14:paraId="205EE6C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seja rural, deve constar na matrícula: (a) os dados do Certificado de Cadastro do Imóvel Rural (CCIR); e (b) a averbação do recibo de inscrição no Cadastro Ambiental Rural – CAR. Caso não conste, os referidos documentos devem ser apresentados para averbação.</w:t>
            </w:r>
          </w:p>
          <w:p w14:paraId="73C920D6"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lastRenderedPageBreak/>
              <w:t>Fundamento</w:t>
            </w:r>
            <w:r>
              <w:rPr>
                <w:rFonts w:ascii="Times New Roman" w:eastAsia="Times New Roman" w:hAnsi="Times New Roman" w:cs="Times New Roman"/>
                <w:sz w:val="20"/>
                <w:szCs w:val="20"/>
              </w:rPr>
              <w:t xml:space="preserve">: artigo 176, inciso II, item 3, alínea “a” da Lei 6.015/1973, artigos 12, 18 e 19 da Lei 12.651/2012, artigo 685, inciso XII e parágrafo 3º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 xml:space="preserve"> e artigo 4º, inciso I da Lei 4.504/1964.</w:t>
            </w:r>
          </w:p>
          <w:p w14:paraId="05FDA4D6"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seja rural, deve constar no título ou ser apresentada a Certidão Negativa de Débitos Relativos ao Imposto sobre a Propriedade Territorial Rural (CND-ITR) ou a declaração de dispensa dos adquirentes.</w:t>
            </w:r>
          </w:p>
          <w:p w14:paraId="6EA95937"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15 do Decreto-Lei 57/1966, artigo 21 da Lei 9.393/1996 e artigo 677-A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w:t>
            </w:r>
          </w:p>
          <w:p w14:paraId="71D08B03" w14:textId="77777777" w:rsidR="00F0607E" w:rsidRPr="00D24F01" w:rsidRDefault="00F0607E" w:rsidP="00F0607E">
            <w:pPr>
              <w:spacing w:after="0"/>
              <w:jc w:val="both"/>
              <w:rPr>
                <w:rFonts w:ascii="Times New Roman" w:eastAsia="Times New Roman" w:hAnsi="Times New Roman" w:cs="Times New Roman"/>
                <w:sz w:val="20"/>
                <w:szCs w:val="20"/>
              </w:rPr>
            </w:pPr>
            <w:r w:rsidRPr="00D24F01">
              <w:rPr>
                <w:rFonts w:ascii="Times New Roman" w:eastAsia="Times New Roman" w:hAnsi="Times New Roman" w:cs="Times New Roman"/>
                <w:sz w:val="20"/>
                <w:szCs w:val="20"/>
              </w:rPr>
              <w:t xml:space="preserve">- Caso conste na matrícula a informação de que o imóvel é rural, mas atualmente o imóvel não tenha a referida destinação, deverá ser apresentado um ofício de cancelamento do cadastro expedido pelo INCRA. </w:t>
            </w:r>
          </w:p>
          <w:p w14:paraId="6871F1F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se trate de um imóvel cadastrado como área de marinha, deve constar na matrícula o número do Registro Imobiliário Patrimonial (RIP). Caso não conste, deve ser apresentada a Certidão do RIP para averbação na matrícula.</w:t>
            </w:r>
          </w:p>
          <w:p w14:paraId="765D7982"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artigos 1º e 2º do Decreto-Lei 9.760/1946, artigos 1º e 2º da Lei 9.636/1998 e artigos 3º e 3º-A do Decreto 2.398/1987.</w:t>
            </w:r>
          </w:p>
        </w:tc>
        <w:tc>
          <w:tcPr>
            <w:tcW w:w="610" w:type="dxa"/>
          </w:tcPr>
          <w:p w14:paraId="7B0B6111"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7E97B84A" w14:textId="77777777" w:rsidR="008634E7" w:rsidRDefault="008634E7">
            <w:pPr>
              <w:spacing w:after="0"/>
              <w:jc w:val="both"/>
              <w:rPr>
                <w:rFonts w:ascii="Times New Roman" w:eastAsia="Times New Roman" w:hAnsi="Times New Roman" w:cs="Times New Roman"/>
                <w:sz w:val="20"/>
                <w:szCs w:val="20"/>
              </w:rPr>
            </w:pPr>
          </w:p>
        </w:tc>
      </w:tr>
      <w:tr w:rsidR="008634E7" w14:paraId="728B05BF" w14:textId="77777777">
        <w:tc>
          <w:tcPr>
            <w:tcW w:w="459" w:type="dxa"/>
          </w:tcPr>
          <w:p w14:paraId="3859D7E9"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8174" w:type="dxa"/>
          </w:tcPr>
          <w:p w14:paraId="69BCCE06"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no contrato o valor relativo à constituição da servidão?</w:t>
            </w:r>
          </w:p>
          <w:p w14:paraId="0B38A7DB"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seja onerosa, deve constar o valor pago pela constituição da servidão. Caso seja gratuita, deve ser declarado um valor somente para cálculo dos emolumentos.</w:t>
            </w:r>
          </w:p>
          <w:p w14:paraId="178C30B6"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176, inciso III, 5 da Lei 6.015/1973. </w:t>
            </w:r>
          </w:p>
        </w:tc>
        <w:tc>
          <w:tcPr>
            <w:tcW w:w="610" w:type="dxa"/>
          </w:tcPr>
          <w:p w14:paraId="783579C6"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368DA1F5" w14:textId="77777777" w:rsidR="008634E7" w:rsidRDefault="008634E7">
            <w:pPr>
              <w:spacing w:after="0"/>
              <w:jc w:val="both"/>
              <w:rPr>
                <w:rFonts w:ascii="Times New Roman" w:eastAsia="Times New Roman" w:hAnsi="Times New Roman" w:cs="Times New Roman"/>
                <w:sz w:val="20"/>
                <w:szCs w:val="20"/>
              </w:rPr>
            </w:pPr>
          </w:p>
        </w:tc>
      </w:tr>
      <w:tr w:rsidR="008634E7" w14:paraId="7F7EF625" w14:textId="77777777">
        <w:tc>
          <w:tcPr>
            <w:tcW w:w="459" w:type="dxa"/>
          </w:tcPr>
          <w:p w14:paraId="5A68771B"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8174" w:type="dxa"/>
          </w:tcPr>
          <w:p w14:paraId="74AE376C"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Consta na escritura a apresentação das certidões de ações reais e pessoais reipersecutórias e de ônus reais incidentes sobre o imóvel?</w:t>
            </w:r>
          </w:p>
          <w:p w14:paraId="5A912AA9"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1º, parágrafo 2º da Lei 7.433/1985, artigo 1º, inciso IV do Decreto 93.240/1986 e artigo 802, inciso III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w:t>
            </w:r>
          </w:p>
          <w:p w14:paraId="0E1E7C20"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É possível, ainda, que a escritura seja lavrada apenas com a apresentação da certidão de inteiro teor ou da certidão da situação jurídica atualizada da matrícula.</w:t>
            </w:r>
          </w:p>
          <w:p w14:paraId="428C8C3A"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artigo 19, parágrafos 9º e 11 da Lei 6.015/1973.</w:t>
            </w:r>
          </w:p>
        </w:tc>
        <w:tc>
          <w:tcPr>
            <w:tcW w:w="610" w:type="dxa"/>
          </w:tcPr>
          <w:p w14:paraId="24EC542E"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19662AA7" w14:textId="77777777" w:rsidR="008634E7" w:rsidRDefault="008634E7">
            <w:pPr>
              <w:spacing w:after="0"/>
              <w:jc w:val="both"/>
              <w:rPr>
                <w:rFonts w:ascii="Times New Roman" w:eastAsia="Times New Roman" w:hAnsi="Times New Roman" w:cs="Times New Roman"/>
                <w:sz w:val="20"/>
                <w:szCs w:val="20"/>
              </w:rPr>
            </w:pPr>
          </w:p>
        </w:tc>
      </w:tr>
      <w:tr w:rsidR="008634E7" w14:paraId="1A90C369" w14:textId="77777777">
        <w:tc>
          <w:tcPr>
            <w:tcW w:w="459" w:type="dxa"/>
          </w:tcPr>
          <w:p w14:paraId="44B5F376"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16</w:t>
            </w:r>
          </w:p>
        </w:tc>
        <w:tc>
          <w:tcPr>
            <w:tcW w:w="8174" w:type="dxa"/>
          </w:tcPr>
          <w:p w14:paraId="1349BFD3"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Sobre os imóveis incide algum ônus ou ação judicial?</w:t>
            </w:r>
          </w:p>
          <w:p w14:paraId="0F50BFD9"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Caso conste algum ônus ou ação impeditivo de alienação (ex: alienação fiduciária, hipoteca cedular, hipoteca em favor do SFH, penhora da União Federal ou de suas autarquias e fundações, promessa de alienação em favor de terceiro, </w:t>
            </w:r>
            <w:proofErr w:type="gramStart"/>
            <w:r>
              <w:rPr>
                <w:rFonts w:ascii="Times New Roman" w:eastAsia="Times New Roman" w:hAnsi="Times New Roman" w:cs="Times New Roman"/>
                <w:sz w:val="20"/>
                <w:szCs w:val="20"/>
              </w:rPr>
              <w:t>indisponibilidade, etc.</w:t>
            </w:r>
            <w:proofErr w:type="gramEnd"/>
            <w:r>
              <w:rPr>
                <w:rFonts w:ascii="Times New Roman" w:eastAsia="Times New Roman" w:hAnsi="Times New Roman" w:cs="Times New Roman"/>
                <w:sz w:val="20"/>
                <w:szCs w:val="20"/>
              </w:rPr>
              <w:t>), o interessado pode promover o cancelamento do gravame ou apresentar uma autorização do instituidor, quando possível.</w:t>
            </w:r>
          </w:p>
          <w:p w14:paraId="27DC922B"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22 da Lei 9.514/1997 e artigo 1.368-B do Código Civil (alienação fiduciária); artigo 59 do Decreto-Lei 167/1967, artigo 51 do Decreto-Lei 413/1969, artigo 3º da Lei 6.313/1975, artigo 5º da Lei 6.840/1980 e artigos 30 e 34, parágrafo 2º da Lei 10.931/2004 (hipotecas cedulares); artigo 1º, parágrafo único da Lei 8.004/1990 e artigo 292 da Lei 6.015/1973 (hipoteca do SFH); artigo 53, parágrafo 1º da Lei 8.212/1991 (penhora da União e suas autarquias e fundações); artigos 1.417 e 1.418 do Código Civil (promessa de compra e venda); e Provimento 39/2014 do CNJ (indisponibilidade). </w:t>
            </w:r>
          </w:p>
        </w:tc>
        <w:tc>
          <w:tcPr>
            <w:tcW w:w="610" w:type="dxa"/>
          </w:tcPr>
          <w:p w14:paraId="53E04726"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5E165A3D" w14:textId="77777777" w:rsidR="008634E7" w:rsidRDefault="008634E7">
            <w:pPr>
              <w:spacing w:after="0"/>
              <w:jc w:val="both"/>
              <w:rPr>
                <w:rFonts w:ascii="Times New Roman" w:eastAsia="Times New Roman" w:hAnsi="Times New Roman" w:cs="Times New Roman"/>
                <w:sz w:val="20"/>
                <w:szCs w:val="20"/>
              </w:rPr>
            </w:pPr>
          </w:p>
        </w:tc>
      </w:tr>
      <w:tr w:rsidR="008634E7" w14:paraId="7404C6DA" w14:textId="77777777">
        <w:trPr>
          <w:trHeight w:val="4110"/>
        </w:trPr>
        <w:tc>
          <w:tcPr>
            <w:tcW w:w="459" w:type="dxa"/>
          </w:tcPr>
          <w:p w14:paraId="3EA5402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8174" w:type="dxa"/>
          </w:tcPr>
          <w:p w14:paraId="649BDE8E"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 xml:space="preserve">Os custos foram recolhidos corretamente? </w:t>
            </w:r>
          </w:p>
          <w:p w14:paraId="4AB5D01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Fundamento: artigo 14 da Lei 6.015/1973 e artigo 4º da Lei Complementar 755/2019.</w:t>
            </w:r>
          </w:p>
          <w:p w14:paraId="3BFDE345"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Os custos serão formados pelos emolumentos, acrescidos dos valores relativos ao Fundo do Reaparelhamento da Justiça - FRJ, ao Imposto Sobre Serviços - ISS e à taxa de cartão, se houver.</w:t>
            </w:r>
          </w:p>
          <w:p w14:paraId="160495C7"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Fundamento: artigo 12, parágrafo 4º, da Lei Complementar 755/2019 e artigo 22 da Lei Complementar 807/2022.</w:t>
            </w:r>
          </w:p>
          <w:p w14:paraId="48F2A040"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rPr>
              <w:t>- Os emolumentos serão de:</w:t>
            </w:r>
          </w:p>
          <w:p w14:paraId="1EFA907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Registro (com valor)</w:t>
            </w:r>
            <w:r>
              <w:rPr>
                <w:rFonts w:ascii="Times New Roman" w:eastAsia="Times New Roman" w:hAnsi="Times New Roman" w:cs="Times New Roman"/>
                <w:sz w:val="20"/>
                <w:szCs w:val="20"/>
              </w:rPr>
              <w:t>: Para o registro da servidão na matrícula do imóvel serviente serão devidos os emolumentos correspondentes aos valores constantes na Lei Complementar 755/2019.</w:t>
            </w:r>
          </w:p>
          <w:p w14:paraId="0D85F211"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Base de Cálculo</w:t>
            </w:r>
            <w:r>
              <w:rPr>
                <w:rFonts w:ascii="Times New Roman" w:eastAsia="Times New Roman" w:hAnsi="Times New Roman" w:cs="Times New Roman"/>
                <w:sz w:val="20"/>
                <w:szCs w:val="20"/>
              </w:rPr>
              <w:t>: A base de cálculo será o valor declarado para a constituição da servidão. Fundamento: artigo 6º da Lei Complementar 755/2019.</w:t>
            </w:r>
          </w:p>
          <w:p w14:paraId="66A423CE"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Averbação (sem valor)</w:t>
            </w:r>
            <w:r>
              <w:rPr>
                <w:rFonts w:ascii="Times New Roman" w:eastAsia="Times New Roman" w:hAnsi="Times New Roman" w:cs="Times New Roman"/>
                <w:sz w:val="20"/>
                <w:szCs w:val="20"/>
              </w:rPr>
              <w:t>: Para a averbação da servidão na matrícula do imóvel dominante.</w:t>
            </w:r>
          </w:p>
          <w:p w14:paraId="41FE876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Fundamento: artigo 82 da Lei Complementar 755/2019.</w:t>
            </w:r>
          </w:p>
          <w:p w14:paraId="5C9E4886" w14:textId="77777777" w:rsidR="00B35EA7" w:rsidRDefault="00B35EA7" w:rsidP="00B35EA7">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u w:val="single"/>
              </w:rPr>
              <w:t>Cancelamento de Protocolo</w:t>
            </w:r>
            <w:r>
              <w:rPr>
                <w:rFonts w:ascii="Times New Roman" w:eastAsia="Times New Roman" w:hAnsi="Times New Roman" w:cs="Times New Roman"/>
                <w:sz w:val="20"/>
                <w:szCs w:val="20"/>
              </w:rPr>
              <w:t>: Ocorrendo o cancelamento do protocolo depois da qualificação registral, a requerimento do interessado ou em razão do simples decurso do prazo de prenotação (artigo 205 da Lei 6.015/1973), sem o cumprimento das exigências formuladas, serão devidos os emolumentos relativos ao cancelamento de protocolo. Lei Complementar 755/2019.</w:t>
            </w:r>
          </w:p>
          <w:p w14:paraId="3F51140C" w14:textId="77777777" w:rsidR="00B35EA7" w:rsidRDefault="00B35EA7" w:rsidP="00B35EA7">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 FRJ incidirá à razão de 22,73% sobre o valor dos emolumentos.</w:t>
            </w:r>
          </w:p>
          <w:p w14:paraId="247AE242" w14:textId="77777777" w:rsidR="00B35EA7" w:rsidRDefault="00B35EA7" w:rsidP="00B35EA7">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Fundamento: artigo 3º-A da Lei 8.067/1990.</w:t>
            </w:r>
          </w:p>
          <w:p w14:paraId="1946C5E9" w14:textId="77777777" w:rsidR="00B35EA7" w:rsidRDefault="00B35EA7" w:rsidP="00B35EA7">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 ISS incidirá à razão de 5% sobre o valor dos emolumentos.</w:t>
            </w:r>
          </w:p>
          <w:p w14:paraId="4B233D82" w14:textId="77777777" w:rsidR="00B35EA7" w:rsidRDefault="00B35EA7" w:rsidP="00B35EA7">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Fundamento: artigo 36 da Lei Municipal 3003/2011.</w:t>
            </w:r>
          </w:p>
          <w:p w14:paraId="21FB711B" w14:textId="77777777" w:rsidR="008634E7" w:rsidRDefault="00B35EA7" w:rsidP="00B35EA7">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Caso haja divergência na cotação, devemos alterar os emolumentos no sistema, na aba “custas” e no campo “serviços cadastrados”, e no protocolo impresso, manuscritamente.</w:t>
            </w:r>
          </w:p>
        </w:tc>
        <w:tc>
          <w:tcPr>
            <w:tcW w:w="610" w:type="dxa"/>
          </w:tcPr>
          <w:p w14:paraId="462EDA39"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0E768624" w14:textId="77777777" w:rsidR="008634E7" w:rsidRDefault="008634E7">
            <w:pPr>
              <w:spacing w:after="0"/>
              <w:jc w:val="both"/>
              <w:rPr>
                <w:rFonts w:ascii="Times New Roman" w:eastAsia="Times New Roman" w:hAnsi="Times New Roman" w:cs="Times New Roman"/>
                <w:sz w:val="20"/>
                <w:szCs w:val="20"/>
              </w:rPr>
            </w:pPr>
          </w:p>
        </w:tc>
      </w:tr>
      <w:tr w:rsidR="008634E7" w14:paraId="5B94E3EA" w14:textId="77777777">
        <w:tc>
          <w:tcPr>
            <w:tcW w:w="459" w:type="dxa"/>
          </w:tcPr>
          <w:p w14:paraId="764D86BD"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8174" w:type="dxa"/>
          </w:tcPr>
          <w:p w14:paraId="1736F015"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O título foi qualificado negativamente?</w:t>
            </w:r>
          </w:p>
          <w:p w14:paraId="31A50D01"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A conferência dos documentos deve ser exaustiva e a nota de exigência formulada com a exposição clara e objetiva dos fundamentos da recusa.</w:t>
            </w:r>
          </w:p>
          <w:p w14:paraId="23F09BC2"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O protocolo deve ser “qualificado negativamente” no sistema e encaminhado para a digitalização.</w:t>
            </w:r>
          </w:p>
          <w:p w14:paraId="60942463"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Após o cumprimento das exigências, com base em novas informações e/ou novos documentos, </w:t>
            </w:r>
            <w:r>
              <w:rPr>
                <w:rFonts w:ascii="Times New Roman" w:eastAsia="Times New Roman" w:hAnsi="Times New Roman" w:cs="Times New Roman"/>
                <w:sz w:val="20"/>
                <w:szCs w:val="20"/>
              </w:rPr>
              <w:lastRenderedPageBreak/>
              <w:t>poderá ser formulada nova nota de exigência.</w:t>
            </w:r>
          </w:p>
          <w:p w14:paraId="2E44CBAC" w14:textId="77777777" w:rsidR="008634E7" w:rsidRDefault="00903B61">
            <w:pPr>
              <w:spacing w:after="0"/>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Fundamento</w:t>
            </w:r>
            <w:r>
              <w:rPr>
                <w:rFonts w:ascii="Times New Roman" w:eastAsia="Times New Roman" w:hAnsi="Times New Roman" w:cs="Times New Roman"/>
                <w:sz w:val="20"/>
                <w:szCs w:val="20"/>
              </w:rPr>
              <w:t xml:space="preserve">: artigo 198 da Lei 6.015/1973 e artigo 492 do </w:t>
            </w:r>
            <w:r w:rsidR="00984425">
              <w:rPr>
                <w:rFonts w:ascii="Times New Roman" w:eastAsia="Times New Roman" w:hAnsi="Times New Roman" w:cs="Times New Roman"/>
                <w:sz w:val="20"/>
                <w:szCs w:val="20"/>
              </w:rPr>
              <w:t>CNCGJ/SC</w:t>
            </w:r>
            <w:r>
              <w:rPr>
                <w:rFonts w:ascii="Times New Roman" w:eastAsia="Times New Roman" w:hAnsi="Times New Roman" w:cs="Times New Roman"/>
                <w:sz w:val="20"/>
                <w:szCs w:val="20"/>
              </w:rPr>
              <w:t>.</w:t>
            </w:r>
          </w:p>
        </w:tc>
        <w:tc>
          <w:tcPr>
            <w:tcW w:w="610" w:type="dxa"/>
          </w:tcPr>
          <w:p w14:paraId="204659EE" w14:textId="77777777" w:rsidR="008634E7" w:rsidRDefault="008634E7">
            <w:pPr>
              <w:spacing w:after="0"/>
              <w:jc w:val="both"/>
              <w:rPr>
                <w:rFonts w:ascii="Times New Roman" w:eastAsia="Times New Roman" w:hAnsi="Times New Roman" w:cs="Times New Roman"/>
                <w:sz w:val="20"/>
                <w:szCs w:val="20"/>
              </w:rPr>
            </w:pPr>
          </w:p>
        </w:tc>
        <w:tc>
          <w:tcPr>
            <w:tcW w:w="611" w:type="dxa"/>
          </w:tcPr>
          <w:p w14:paraId="45F4CE23" w14:textId="77777777" w:rsidR="008634E7" w:rsidRDefault="008634E7">
            <w:pPr>
              <w:spacing w:after="0"/>
              <w:jc w:val="both"/>
              <w:rPr>
                <w:rFonts w:ascii="Times New Roman" w:eastAsia="Times New Roman" w:hAnsi="Times New Roman" w:cs="Times New Roman"/>
                <w:sz w:val="20"/>
                <w:szCs w:val="20"/>
              </w:rPr>
            </w:pPr>
          </w:p>
        </w:tc>
      </w:tr>
    </w:tbl>
    <w:p w14:paraId="79F8619E" w14:textId="77777777" w:rsidR="008634E7" w:rsidRDefault="008634E7">
      <w:pPr>
        <w:spacing w:after="0"/>
        <w:jc w:val="both"/>
        <w:rPr>
          <w:rFonts w:ascii="Times New Roman" w:eastAsia="Times New Roman" w:hAnsi="Times New Roman" w:cs="Times New Roman"/>
          <w:b/>
          <w:sz w:val="20"/>
          <w:szCs w:val="20"/>
          <w:highlight w:val="white"/>
        </w:rPr>
      </w:pPr>
    </w:p>
    <w:p w14:paraId="48C5F3E4" w14:textId="77777777" w:rsidR="008634E7" w:rsidRDefault="00903B61">
      <w:pPr>
        <w:spacing w:after="0"/>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Declaro que preenchi o presente roteiro de conferência após analisar o(s) documento(s) apresentado(s) e a(s) matrícula(s) prenotada(s), responsabilizando-me pelas informações inseridas.</w:t>
      </w:r>
    </w:p>
    <w:p w14:paraId="6D2A57A7" w14:textId="77777777" w:rsidR="008634E7" w:rsidRDefault="008634E7">
      <w:pPr>
        <w:spacing w:after="0"/>
        <w:jc w:val="both"/>
        <w:rPr>
          <w:rFonts w:ascii="Times New Roman" w:eastAsia="Times New Roman" w:hAnsi="Times New Roman" w:cs="Times New Roman"/>
          <w:sz w:val="20"/>
          <w:szCs w:val="20"/>
        </w:rPr>
      </w:pPr>
    </w:p>
    <w:p w14:paraId="0C719C1B" w14:textId="77777777" w:rsidR="008634E7" w:rsidRDefault="00903B61">
      <w:pPr>
        <w:spacing w:after="0"/>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Conferência inicial</w:t>
      </w:r>
      <w:r>
        <w:rPr>
          <w:rFonts w:ascii="Times New Roman" w:eastAsia="Times New Roman" w:hAnsi="Times New Roman" w:cs="Times New Roman"/>
          <w:sz w:val="20"/>
          <w:szCs w:val="20"/>
        </w:rPr>
        <w:t>: Data: ____/____/_____. Nome: _____________________. Assinatura: ____________________</w:t>
      </w:r>
    </w:p>
    <w:sectPr w:rsidR="008634E7">
      <w:pgSz w:w="11906" w:h="16838"/>
      <w:pgMar w:top="567" w:right="1134" w:bottom="709" w:left="1134"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characterSpacingControl w:val="doNotCompress"/>
  <w:compat>
    <w:compatSetting w:name="compatibilityMode" w:uri="http://schemas.microsoft.com/office/word" w:val="14"/>
    <w:compatSetting w:name="useWord2013TrackBottomHyphenation" w:uri="http://schemas.microsoft.com/office/word" w:val="1"/>
  </w:compat>
  <w:rsids>
    <w:rsidRoot w:val="008634E7"/>
    <w:rsid w:val="00053035"/>
    <w:rsid w:val="001C75A5"/>
    <w:rsid w:val="001F0C4D"/>
    <w:rsid w:val="00260A10"/>
    <w:rsid w:val="008634E7"/>
    <w:rsid w:val="00903B61"/>
    <w:rsid w:val="009165FA"/>
    <w:rsid w:val="00984425"/>
    <w:rsid w:val="00B07379"/>
    <w:rsid w:val="00B35EA7"/>
    <w:rsid w:val="00F0607E"/>
    <w:rsid w:val="00F1244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72E1F"/>
  <w15:docId w15:val="{1887A062-EDAF-472B-AFD6-4738E0499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widowControl w:val="0"/>
        <w:spacing w:after="200"/>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80" w:after="120"/>
      <w:outlineLvl w:val="0"/>
    </w:pPr>
    <w:rPr>
      <w:b/>
      <w:sz w:val="48"/>
      <w:szCs w:val="48"/>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2226</Words>
  <Characters>12025</Characters>
  <Application>Microsoft Office Word</Application>
  <DocSecurity>0</DocSecurity>
  <Lines>100</Lines>
  <Paragraphs>28</Paragraphs>
  <ScaleCrop>false</ScaleCrop>
  <Company/>
  <LinksUpToDate>false</LinksUpToDate>
  <CharactersWithSpaces>14223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Guilherme Valente</cp:lastModifiedBy>
  <cp:revision>12</cp:revision>
  <dcterms:created xsi:type="dcterms:W3CDTF">2023-05-26T16:47:00Z</dcterms:created>
  <dcterms:modified xsi:type="dcterms:W3CDTF">2023-10-01T22:54:00Z</dcterms:modified>
</cp:coreProperties>
</file>