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B2B23E" w14:textId="77777777" w:rsidR="008F45CE" w:rsidRDefault="008F45CE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062D4B5E" wp14:editId="12B1081A">
            <wp:extent cx="2755900" cy="866140"/>
            <wp:effectExtent l="0" t="0" r="6350" b="0"/>
            <wp:docPr id="322" name="Picture 322" descr="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 descr="Texto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40A2D28B" w14:textId="77777777" w:rsidR="008F45CE" w:rsidRDefault="008F45CE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C8E401F" w14:textId="436CD136" w:rsidR="002D5D01" w:rsidRDefault="0000000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PROTOCOLO: ______________  MATRÍCULA(S): __________________________________________</w:t>
      </w:r>
    </w:p>
    <w:p w14:paraId="283ED043" w14:textId="77777777" w:rsidR="002D5D01" w:rsidRDefault="002D5D0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CC85C81" w14:textId="77777777" w:rsidR="002D5D01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ABERTURA DE MATRÍCULA</w:t>
      </w:r>
    </w:p>
    <w:p w14:paraId="7D91833F" w14:textId="77777777" w:rsidR="002D5D01" w:rsidRDefault="002D5D01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tbl>
      <w:tblPr>
        <w:tblStyle w:val="a"/>
        <w:tblW w:w="9805" w:type="dxa"/>
        <w:tblInd w:w="63" w:type="dxa"/>
        <w:tblLayout w:type="fixed"/>
        <w:tblLook w:val="0000" w:firstRow="0" w:lastRow="0" w:firstColumn="0" w:lastColumn="0" w:noHBand="0" w:noVBand="0"/>
      </w:tblPr>
      <w:tblGrid>
        <w:gridCol w:w="425"/>
        <w:gridCol w:w="8020"/>
        <w:gridCol w:w="680"/>
        <w:gridCol w:w="680"/>
      </w:tblGrid>
      <w:tr w:rsidR="002D5D01" w14:paraId="6360E035" w14:textId="77777777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5058A" w14:textId="77777777" w:rsidR="002D5D01" w:rsidRDefault="002D5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27081" w14:textId="77777777" w:rsidR="002D5D01" w:rsidRDefault="002D5D0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2B185" w14:textId="77777777" w:rsidR="002D5D01" w:rsidRDefault="00000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1F0C" w14:textId="77777777" w:rsidR="002D5D01" w:rsidRDefault="00000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NÃO</w:t>
            </w:r>
          </w:p>
        </w:tc>
      </w:tr>
      <w:tr w:rsidR="002D5D01" w14:paraId="27F780E4" w14:textId="77777777">
        <w:trPr>
          <w:trHeight w:val="5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62AB9" w14:textId="77777777" w:rsidR="002D5D01" w:rsidRDefault="00000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gjdgxs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1AA0A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outra prenotação vinculada às matrículas objetos do presente requerimento?</w:t>
            </w:r>
          </w:p>
          <w:p w14:paraId="0A850945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da prenotação deve ser realizada pelo campo “visualizar pendências do imóvel”, na aba de matrículas, no momento da conferência inicial, do registro e da conferência final.</w:t>
            </w:r>
          </w:p>
          <w:p w14:paraId="2CC1420E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Se a resposta for positiva, devemos verificar se os títulos ou procedimentos prenotados são contraditórios, se impedem a inscrição do ato requerido ou se, não impedindo, qual deve ser inscrito primeiro.</w:t>
            </w:r>
          </w:p>
          <w:p w14:paraId="0D0FF073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Sendo possível a abertura, devemos verificar a necessidade de prenotar a nova matrícula ao protocolo, procedimento interno ou ocorrência. </w:t>
            </w:r>
          </w:p>
          <w:p w14:paraId="37882BB1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entre as matrículas constantes no requerimento e as matrículas prenotadas no sistema, devemos corrigir a prenotação e anotar a correção manuscritamente no protocolo.</w:t>
            </w:r>
          </w:p>
          <w:p w14:paraId="7E00FCD0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FBDC3" w14:textId="77777777" w:rsidR="002D5D01" w:rsidRDefault="002D5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A19B" w14:textId="77777777" w:rsidR="002D5D01" w:rsidRDefault="002D5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5D01" w14:paraId="5CAC5331" w14:textId="77777777">
        <w:trPr>
          <w:trHeight w:val="14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86C8A" w14:textId="77777777" w:rsidR="002D5D01" w:rsidRDefault="00000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8CF70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apresentado o requerimento para abertura de matrícula?</w:t>
            </w:r>
          </w:p>
          <w:p w14:paraId="260AC558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O requerimento deve conter a: (a) qualificação do requerente, que deve ser um dos detentores de direitos reais; (b) indicação da matrícula de origem; e (c) assinatura do requerente. </w:t>
            </w:r>
          </w:p>
          <w:p w14:paraId="064189A7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requerimento seja físico, assinado manuscritamente, não é necessário o reconhecimento de firma e caso seja digital, serão admitidas assinaturas eletrônicas qualificadas, com uso de certificado emitido com os requisitos da Infraestrutura de Chaves Públicas Brasileira - ICP-Brasil, ou avançadas, por meio do e-Notariado ou do assinador do portal Gov.br.</w:t>
            </w:r>
          </w:p>
          <w:p w14:paraId="1B4A867D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artigos 13, inciso II, e 222 da LRP e artigos 762 e 791, inciso V, do Código de Normas da Corregedoria-Geral do Foro Extrajudicial do Estado de Santa Catarina - CNCGFE/SC.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63371" w14:textId="77777777" w:rsidR="002D5D01" w:rsidRDefault="002D5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3B36" w14:textId="77777777" w:rsidR="002D5D01" w:rsidRDefault="002D5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5D01" w14:paraId="5B29393F" w14:textId="77777777">
        <w:trPr>
          <w:trHeight w:val="40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07111" w14:textId="77777777" w:rsidR="002D5D01" w:rsidRDefault="00000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5DFE7317" w14:textId="77777777" w:rsidR="002D5D01" w:rsidRDefault="002D5D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21200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Caso o requerente seja representado por procurador, foi apresentada a procuração?</w:t>
            </w:r>
          </w:p>
          <w:p w14:paraId="4FC938E8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procuração deve conferir poderes específicos para o ato a ser realizado e a identificação dos imóveis.</w:t>
            </w:r>
          </w:p>
          <w:p w14:paraId="7598EAE1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661, parágrafo 1º, do Código Civil - CC.</w:t>
            </w:r>
          </w:p>
          <w:p w14:paraId="0677A856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procuração pode ser apresentada em instrumento público ou particular, na via original ou em cópia autenticada.</w:t>
            </w:r>
          </w:p>
          <w:p w14:paraId="3781A29D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a procuração seja particular, deve conter o reconhecimento de firma do outorgante, exceto quando outorgada para advogado, hipótese em que o reconhecimento será dispensável.</w:t>
            </w:r>
          </w:p>
          <w:p w14:paraId="034843CB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a procuração seja pública, lavrada em Santa Catarina, devemos conferir apenas a autenticidade por meio de consulta ao selo digital de fiscalização. A eficácia da procuração deve ser presumida se o ato foi praticado pelo procurador antes do termo final estipulado ou se a procuração foi pactuada por prazo indeterminado. A confirmação da eficácia será excepcional, somente se houver fundada dúvida, e deverá ser realizada por meio de certidão atualizada, de inteiro teor ou específica, a ser providenciada pelo interessado.  </w:t>
            </w:r>
          </w:p>
          <w:p w14:paraId="065D85A9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Para as procurações públicas lavradas em outros Estados da Federação, devemos realizar o procedimento de confirmação de autenticidade e eficácia por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 ligação telefônica reduzida a termo, pelos contatos disponíveis no cadastro da serventia no CNJ.</w:t>
            </w:r>
          </w:p>
          <w:p w14:paraId="4CDD5FBD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a procuração for pública e o procurador investido por meio de substabelecimento, deve ser apresentada toda a cadeia de procurações para conferência da autenticidade e, se for o caso, da eficácia.</w:t>
            </w:r>
          </w:p>
          <w:p w14:paraId="63AEC119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308 do CNCGFE/SC.</w:t>
            </w:r>
          </w:p>
          <w:p w14:paraId="4232B8C5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autenticidade do ato só é garantida depois do recebimento dos dados pelo Poder Judiciário.</w:t>
            </w:r>
          </w:p>
          <w:p w14:paraId="2EE72B7E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355, parágrafo 1º, do CNCGFE/SC.</w:t>
            </w:r>
          </w:p>
          <w:p w14:paraId="757C5703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representação das pessoas jurídicas deve ocorrer, sempre, por meio de seus administradores (nos limites do contrato social/estatuto) ou por procuradores da sociedade (nos limites da procuração outorgada pela sociedade, que deverá indicar os poderes específicos e a identificação do imóvel).</w:t>
            </w:r>
          </w:p>
          <w:p w14:paraId="3E2310EA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Não podem ser aceitas procurações em que sócios administradores se fazem representar, pessoalmente, nem devem ser aceitas procurações onde a sociedade, mesmo que por seu administrador, outorga poderes de administração ampla a terceiro.</w:t>
            </w:r>
          </w:p>
          <w:p w14:paraId="624CC08A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1.018 do CC.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35EAD" w14:textId="77777777" w:rsidR="002D5D01" w:rsidRDefault="002D5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E5F2" w14:textId="77777777" w:rsidR="002D5D01" w:rsidRDefault="002D5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5D01" w14:paraId="4D39F841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618E7" w14:textId="77777777" w:rsidR="002D5D01" w:rsidRDefault="00000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628CA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Caso o requerente seja pessoa jurídica e esteja representado por um de seus administradores, foi apresentado o documento hábil a comprovar seu poder de administração?</w:t>
            </w:r>
          </w:p>
          <w:p w14:paraId="2607A32D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 comprovação pode ser realizada por meio de: (a) certidão simplificada expedida pela Junta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Comercial, quando tratar-se de sociedade empresária; ou (b) de certidão específica expedida pelo Ofício de Registro Civil de Pessoas Jurídicas, quando tratar-se de sociedade despersonificada; ou, ainda (c) consulta ao Quadro de Sócios e Administradores (QSA) da Receita Federal.</w:t>
            </w:r>
          </w:p>
          <w:p w14:paraId="0E0BCE5E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Havendo mais de um administrador, bastará a assinatura de qualquer um deles.</w:t>
            </w:r>
          </w:p>
          <w:p w14:paraId="75F89787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documentos podem ser apresentados na via original ou em cópia autenticada.</w:t>
            </w:r>
          </w:p>
          <w:p w14:paraId="5CDA1CC3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799, 814 e 815 do CNCGFE/SC.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E5575" w14:textId="77777777" w:rsidR="002D5D01" w:rsidRDefault="002D5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4392" w14:textId="77777777" w:rsidR="002D5D01" w:rsidRDefault="002D5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5D01" w14:paraId="68C3DC12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5A2A4" w14:textId="77777777" w:rsidR="002D5D01" w:rsidRDefault="00000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D3CED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É possível obter a inscrição imobiliária do imóvel no programa de Geoprocessamento da PMF?</w:t>
            </w:r>
          </w:p>
          <w:p w14:paraId="16C737A7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seja possível, devemos mencionar a inscrição no ato de abertura da matrícula.</w:t>
            </w:r>
          </w:p>
          <w:p w14:paraId="73AEB631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não seja possível identificar uma inscrição específica para o imóvel, devemos abrir a matrícula sem a inscrição imobiliária municipal.  </w:t>
            </w:r>
          </w:p>
          <w:p w14:paraId="10905C4E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176, inciso II, 3, alínea “b” da LRP.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1E266" w14:textId="77777777" w:rsidR="002D5D01" w:rsidRDefault="002D5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1029" w14:textId="77777777" w:rsidR="002D5D01" w:rsidRDefault="002D5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5D01" w14:paraId="3D4722CB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E7CF3" w14:textId="77777777" w:rsidR="002D5D01" w:rsidRDefault="00000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C4B06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 w14:paraId="5B86E95D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14 da LRP e artigo 4º da Lei Complementar 755/2019.</w:t>
            </w:r>
          </w:p>
          <w:p w14:paraId="61B379DD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 w14:paraId="3D56EE66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 w14:paraId="4B049419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emolumentos serão de:</w:t>
            </w:r>
          </w:p>
          <w:p w14:paraId="1B9230AD" w14:textId="37703873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Abertura de Matrícula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  <w:r w:rsidR="00F94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cada matrícula aberta</w:t>
            </w:r>
            <w:r w:rsidR="00F94019">
              <w:rPr>
                <w:rFonts w:ascii="Times New Roman" w:eastAsia="Times New Roman" w:hAnsi="Times New Roman" w:cs="Times New Roman"/>
                <w:sz w:val="20"/>
                <w:szCs w:val="20"/>
              </w:rPr>
              <w:t>, nos moldes 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item 1.1 da Tabela III da Lei Complementar 755/2019, atualizada pela atualizada e publicizada por meio da Circular 355/2023 da CGFE/SC.</w:t>
            </w:r>
          </w:p>
          <w:p w14:paraId="52621318" w14:textId="5091B2C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 w14:paraId="17836D0B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 w14:paraId="27FAF300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FRJ incidirá à razão de 22,73% sobre o valor dos emolumentos.</w:t>
            </w:r>
          </w:p>
          <w:p w14:paraId="6148FCB9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3º-A da Lei 8.067/1990.</w:t>
            </w:r>
          </w:p>
          <w:p w14:paraId="4814281D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ISS incidirá à razão de 5% sobre o valor dos emolumentos.</w:t>
            </w:r>
          </w:p>
          <w:p w14:paraId="2D5F791D" w14:textId="77777777" w:rsidR="008F45CE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Fundamento: </w:t>
            </w:r>
            <w:r w:rsidR="008F45CE" w:rsidRPr="008F45CE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 do ISS: artigo 36 da Lei Municipal 3003/2011.</w:t>
            </w:r>
          </w:p>
          <w:p w14:paraId="4DC8D611" w14:textId="40844532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91F5F" w14:textId="77777777" w:rsidR="002D5D01" w:rsidRDefault="002D5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4725" w14:textId="77777777" w:rsidR="002D5D01" w:rsidRDefault="002D5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5D01" w14:paraId="50BC5610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EA31B" w14:textId="77777777" w:rsidR="002D5D01" w:rsidRDefault="000000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42915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 título foi qualificado negativamente?</w:t>
            </w:r>
          </w:p>
          <w:p w14:paraId="7FF90894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 w14:paraId="0FCB22EF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 w14:paraId="7F07E664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 w14:paraId="6D1E73AD" w14:textId="77777777" w:rsidR="002D5D01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89CAC" w14:textId="77777777" w:rsidR="002D5D01" w:rsidRDefault="002D5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50D2" w14:textId="77777777" w:rsidR="002D5D01" w:rsidRDefault="002D5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43E927B" w14:textId="77777777" w:rsidR="002D5D01" w:rsidRDefault="002D5D0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865D63" w14:textId="77777777" w:rsidR="002D5D01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 w14:paraId="70B97D99" w14:textId="77777777" w:rsidR="002D5D01" w:rsidRDefault="002D5D0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714403C" w14:textId="77777777" w:rsidR="002D5D01" w:rsidRDefault="000000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Conferência inicial</w:t>
      </w:r>
      <w:r>
        <w:rPr>
          <w:rFonts w:ascii="Times New Roman" w:eastAsia="Times New Roman" w:hAnsi="Times New Roman" w:cs="Times New Roman"/>
          <w:sz w:val="20"/>
          <w:szCs w:val="20"/>
        </w:rPr>
        <w:t>: Data: ____/____/_____. Nome: _____________________. Assinatura: ____________________</w:t>
      </w:r>
    </w:p>
    <w:p w14:paraId="7EF0F5C4" w14:textId="77777777" w:rsidR="002D5D01" w:rsidRDefault="002D5D01">
      <w:pPr>
        <w:spacing w:after="0"/>
        <w:jc w:val="both"/>
        <w:rPr>
          <w:sz w:val="20"/>
          <w:szCs w:val="20"/>
        </w:rPr>
      </w:pPr>
    </w:p>
    <w:p w14:paraId="7D115457" w14:textId="77777777" w:rsidR="002D5D01" w:rsidRDefault="002D5D01">
      <w:pPr>
        <w:spacing w:after="0"/>
        <w:jc w:val="both"/>
        <w:rPr>
          <w:sz w:val="20"/>
          <w:szCs w:val="20"/>
        </w:rPr>
      </w:pPr>
    </w:p>
    <w:p w14:paraId="1CDD7C6D" w14:textId="77777777" w:rsidR="002D5D01" w:rsidRDefault="002D5D01">
      <w:pPr>
        <w:spacing w:after="0"/>
        <w:jc w:val="both"/>
        <w:rPr>
          <w:sz w:val="20"/>
          <w:szCs w:val="20"/>
        </w:rPr>
      </w:pPr>
    </w:p>
    <w:sectPr w:rsidR="002D5D01">
      <w:pgSz w:w="11906" w:h="16838"/>
      <w:pgMar w:top="568" w:right="567" w:bottom="709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D01"/>
    <w:rsid w:val="00013FA2"/>
    <w:rsid w:val="002D5D01"/>
    <w:rsid w:val="008F45CE"/>
    <w:rsid w:val="00F9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73A5"/>
  <w15:docId w15:val="{682A7B18-3A8A-4AED-93EC-1B4F4853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1178</Words>
  <Characters>6362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daniella.scheeffer</dc:creator>
  <cp:lastModifiedBy>Daniella Scheeffer</cp:lastModifiedBy>
  <cp:revision>3</cp:revision>
  <dcterms:created xsi:type="dcterms:W3CDTF">2024-04-23T20:30:00Z</dcterms:created>
  <dcterms:modified xsi:type="dcterms:W3CDTF">2024-04-23T21:21:00Z</dcterms:modified>
</cp:coreProperties>
</file>