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85EE17" w14:textId="77777777" w:rsidR="008F3BC3" w:rsidRDefault="008F3BC3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7EACEBDB" wp14:editId="4AE119FB">
            <wp:extent cx="2755900" cy="866140"/>
            <wp:effectExtent l="0" t="0" r="6350" b="0"/>
            <wp:docPr id="322" name="Picture 322" descr="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 descr="Text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B91CA" w14:textId="38AEA1E7" w:rsidR="00C27796" w:rsidRDefault="0000000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PROTOCOLO:___________________________     MATRÍCULA(S): __________________________</w:t>
      </w:r>
    </w:p>
    <w:p w14:paraId="2404DEF5" w14:textId="77777777" w:rsidR="00C27796" w:rsidRDefault="00C2779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9EA181F" w14:textId="77777777" w:rsidR="00C27796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PREMONITÓRIA DE PENHORA - ADMISSÃO DE EXECUÇÃO</w:t>
      </w:r>
    </w:p>
    <w:p w14:paraId="54AC432A" w14:textId="77777777" w:rsidR="00C27796" w:rsidRDefault="00C27796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Style w:val="a"/>
        <w:tblW w:w="10365" w:type="dxa"/>
        <w:tblInd w:w="63" w:type="dxa"/>
        <w:tblLayout w:type="fixed"/>
        <w:tblLook w:val="0000" w:firstRow="0" w:lastRow="0" w:firstColumn="0" w:lastColumn="0" w:noHBand="0" w:noVBand="0"/>
      </w:tblPr>
      <w:tblGrid>
        <w:gridCol w:w="480"/>
        <w:gridCol w:w="8625"/>
        <w:gridCol w:w="585"/>
        <w:gridCol w:w="675"/>
      </w:tblGrid>
      <w:tr w:rsidR="00C27796" w14:paraId="2BCDD7AA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97D4B" w14:textId="77777777" w:rsidR="00C27796" w:rsidRDefault="00C27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89AAF" w14:textId="77777777" w:rsidR="00C27796" w:rsidRDefault="00C27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30FE7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Sim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F327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Não</w:t>
            </w:r>
          </w:p>
        </w:tc>
      </w:tr>
      <w:tr w:rsidR="00C27796" w14:paraId="3773EE01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76CF4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B7819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outra prenotação vinculada às matrículas objetos do presente requerimento?</w:t>
            </w:r>
          </w:p>
          <w:p w14:paraId="34BB3E69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 w14:paraId="0E560835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 w14:paraId="1585865D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entre as matrículas constantes no requerimento e as matrículas prenotadas no sistema, devemos corrigir a prenotação e anotar a correção manuscritamente no protocolo.</w:t>
            </w:r>
          </w:p>
          <w:p w14:paraId="3E805E99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9F1FD" w14:textId="77777777" w:rsidR="00C27796" w:rsidRDefault="00C27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7204" w14:textId="77777777" w:rsidR="00C27796" w:rsidRDefault="00C27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96" w14:paraId="4D9F6582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E5B13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8E962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apresentado o requerimento para averbação da admissão de execução (premonitória de penhora)?</w:t>
            </w:r>
          </w:p>
          <w:p w14:paraId="389E0348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requerimento deve conter a: (a) qualificação do requerente, que deve ser o exequente na ação judicial; (b) indicação da matrícula em que o ato deve ser realizado; e (c) assinatura do requerente.</w:t>
            </w:r>
          </w:p>
          <w:p w14:paraId="20F0C137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requerimento seja físico, assinado manuscritamente, é necessário o reconhecimento de firma e caso seja digital, serão admitidas assinaturas eletrônicas qualificadas, com uso de certificado emitido com os requisitos da Infraestrutura de Chaves Públicas Brasileira - ICP-Brasil, ou avançadas, por meio do e-Notariado ou do assinador do portal Gov.br.</w:t>
            </w:r>
          </w:p>
          <w:p w14:paraId="4F312F93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13, inciso II, 221, inciso II, e 222 da LRP e artigos 762 e 791, inciso V, do Código de Normas da Corregedoria-Geral do Foro Extrajudicial do Estado de Santa Catarina - CNCGFE/SC.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AF704" w14:textId="77777777" w:rsidR="00C27796" w:rsidRDefault="00C27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1B69" w14:textId="77777777" w:rsidR="00C27796" w:rsidRDefault="00C27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96" w14:paraId="38FC0641" w14:textId="77777777">
        <w:trPr>
          <w:trHeight w:val="6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6084F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9C7F8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o requerente seja representado por procurador, foi apresentada a procuração?</w:t>
            </w:r>
          </w:p>
          <w:p w14:paraId="03F945F2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procuração deve conferir poderes específicos para o ato a ser realizado e a identificação dos imóveis.</w:t>
            </w:r>
          </w:p>
          <w:p w14:paraId="0CFD0805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661, parágrafo 1º, do Código Civil - CC.</w:t>
            </w:r>
          </w:p>
          <w:p w14:paraId="622956A5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procuração pode ser apresentada em instrumento público ou particular, na via original ou em cópia autenticada.</w:t>
            </w:r>
          </w:p>
          <w:p w14:paraId="66EDE5EF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a procuração seja particular, deve conter o reconhecimento de firma do outorgante, exceto quando outorgada para advogado, hipótese em que o reconhecimento será dispensável.</w:t>
            </w:r>
          </w:p>
          <w:p w14:paraId="4F9AF48A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a procuração seja pública, lavrada em Santa Catarina, devemos conferir apenas a autenticidade por meio de consulta ao selo digital de fiscalização. A eficácia da procuração deve ser presumida se o ato foi praticado pelo procurador antes do termo final estipulado ou se a procuração foi pactuada por prazo indeterminado. A confirmação da eficácia será excepcional, somente se houver fundada dúvida, e deverá ser realizada por meio de certidão atualizada, de inteiro teor ou específica, a ser providenciada pelo interessado.  </w:t>
            </w:r>
          </w:p>
          <w:p w14:paraId="06A42F7F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Para as procurações públicas lavradas em outros Estados da Federação, devemos realizar o procedimento de confirmação de autenticidade e eficácia por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 ligação telefônica reduzida a termo, pelos contatos disponíveis no cadastro da serventia no CNJ.</w:t>
            </w:r>
          </w:p>
          <w:p w14:paraId="63BEDB0C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a procuração for pública e o procurador investido por meio de substabelecimento, deve ser apresentada toda a cadeia de procurações para conferência da autenticidade e, se for o caso, da eficácia.</w:t>
            </w:r>
          </w:p>
          <w:p w14:paraId="2BE6593E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308 do CNCGFE/SC.</w:t>
            </w:r>
          </w:p>
          <w:p w14:paraId="3EFA58FE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autenticidade do ato só é garantida depois do recebimento dos dados pelo Poder Judiciário.</w:t>
            </w:r>
          </w:p>
          <w:p w14:paraId="2534EE54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355, parágrafo 1º, do CNCGFE/SC.</w:t>
            </w:r>
          </w:p>
          <w:p w14:paraId="7AA7CF20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representação das pessoas jurídicas deve ocorrer, sempre, por meio de seus administradores (nos limites do contrato social/estatuto) ou por procuradores da sociedade (nos limites da procuração outorgada pela sociedade, que deverá indicar os poderes específicos e a identificação do imóvel).</w:t>
            </w:r>
          </w:p>
          <w:p w14:paraId="12C1EAD3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Não podem ser aceitas procurações em que sócios administradores se fazem representar, pessoalmente, nem devem ser aceitas procurações onde a sociedade, mesmo que por seu administrador, outorga poderes de administração ampla a terceiro.</w:t>
            </w:r>
          </w:p>
          <w:p w14:paraId="345A5F38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1.018 do CC.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3B486" w14:textId="77777777" w:rsidR="00C27796" w:rsidRDefault="00C27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2F9A" w14:textId="77777777" w:rsidR="00C27796" w:rsidRDefault="00C27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96" w14:paraId="3BB25D87" w14:textId="77777777">
        <w:trPr>
          <w:trHeight w:val="6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8C740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0C1B6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o requerente seja pessoa jurídica e esteja representado por um de seus administradores, foi apresentado o documento hábil a comprovar seu poder de administração?</w:t>
            </w:r>
          </w:p>
          <w:p w14:paraId="56242654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comprovação pode ser realizada por meio de: (a) certidão simplificada expedida pela Junta Comercial, quando tratar-se de sociedade empresária; ou (b) de certidão específica expedida pelo Ofício de Registro Civil de Pessoas Jurídicas, quando tratar-se de sociedade despersonificada; ou, ainda (c) consulta ao Quadro de Sócios e Administradores (QSA) da Receita Federal.</w:t>
            </w:r>
          </w:p>
          <w:p w14:paraId="43DF3BBB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Havendo mais de um administrador, bastará a assinatura de qualquer um deles.</w:t>
            </w:r>
          </w:p>
          <w:p w14:paraId="66035F41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documentos podem ser apresentados na via original ou em cópia autenticada.</w:t>
            </w:r>
          </w:p>
          <w:p w14:paraId="2A6A3727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799, 814 e 815 do CNCGFE/SC.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29448" w14:textId="77777777" w:rsidR="00C27796" w:rsidRDefault="00C27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6213" w14:textId="77777777" w:rsidR="00C27796" w:rsidRDefault="00C27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96" w14:paraId="3054A4E3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AC9CD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C9B6F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apresentada a certidão que comprova a admissão da ação de execução?</w:t>
            </w:r>
          </w:p>
          <w:p w14:paraId="4643C29F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Não é possível a averbação somente com a distribuição (ajuizamento) da ação de execução, é necessário que o Juízo tenha admitido a execução.</w:t>
            </w:r>
          </w:p>
          <w:p w14:paraId="308E2AAD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Devemos identificar na certidão os nomes das partes e o valor da causa.</w:t>
            </w:r>
          </w:p>
          <w:p w14:paraId="5907EB50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Para identificação das partes é necessário constar no mínimo o nome completo e CPF. </w:t>
            </w:r>
          </w:p>
          <w:p w14:paraId="1FDB4C4F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Pode ser apresentada, ainda, a certidão narrativa extraída do processo, desde que comprove a admissão da ação de execução.</w:t>
            </w:r>
          </w:p>
          <w:p w14:paraId="3B0B29EC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É possível ainda a averbação quando o processo estiver na fase de cumprimento/execução de sentença, devendo ser apresentado para tanto a certidão narrativa com os mesmos requisitos mencionados acima.</w:t>
            </w:r>
          </w:p>
          <w:p w14:paraId="3654178E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828 do CPC.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86DBD" w14:textId="77777777" w:rsidR="00C27796" w:rsidRDefault="00C27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CC9D" w14:textId="77777777" w:rsidR="00C27796" w:rsidRDefault="00C27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96" w14:paraId="07FE29EF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66A10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FBA3C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Os executados na ação são detentores de direito real nas matrículas?</w:t>
            </w:r>
          </w:p>
          <w:p w14:paraId="05786226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Para identificação das partes é necessário constar nos documentos apresentados, no mínimo, o nome completo e o CPF, para afastar o risco de homonímia. </w:t>
            </w:r>
          </w:p>
          <w:p w14:paraId="7659F0D1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os executados não sejam detentores de direito real nas matrículas, devemos buscar no processo, quando digital, por documentos que esclareçam o motivo.</w:t>
            </w:r>
          </w:p>
          <w:p w14:paraId="737877C9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Nas ações de execução de taxas e de tributos sobre o imóvel (obrigações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propter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rem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por exemplo, é possível que o executado não seja detentor de direito real na matrícula (ex.: adquirentes sem registro), mas devemos conferir no processo, para certificar que não se trata apenas de erro de indicação da unidade.</w:t>
            </w:r>
          </w:p>
          <w:p w14:paraId="6F984F94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não seja possível localizar documentos que esclareçam o fato, devemos solicitar esclarecimento por meio de nota de exigência.</w:t>
            </w:r>
          </w:p>
          <w:p w14:paraId="4131E0D1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1º e 237 da LRP e artigo 828, parágrafo 5º, do CPC.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A9C1A" w14:textId="77777777" w:rsidR="00C27796" w:rsidRDefault="00C27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53AF" w14:textId="77777777" w:rsidR="00C27796" w:rsidRDefault="00C27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96" w14:paraId="4AAB785E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B62A2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3AC28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Sobre o imóvel incide algum ônus impeditivo para averbação da premonitória de penhora?</w:t>
            </w:r>
          </w:p>
          <w:p w14:paraId="6390430F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usufruto é um direito real personalíssimo, motivo pelo qual não deve ser objeto de premonitória de penhora.</w:t>
            </w:r>
          </w:p>
          <w:p w14:paraId="3069900F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artigos 1.391 e 1.393 do Código Civil - CC.  </w:t>
            </w:r>
          </w:p>
          <w:p w14:paraId="5CC861B8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premonitória de penhora sobre direitos de aquisição, decorrentes de um contrato de promessa de compra e venda não registrado, dependerá, em regra, do registro do referido contrato.</w:t>
            </w:r>
          </w:p>
          <w:p w14:paraId="0E59BA9F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1.417 do CC.</w:t>
            </w:r>
          </w:p>
          <w:p w14:paraId="23591305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Imóvel gravado com hipoteca cedular não deve ser objeto de premonitória de penhora.</w:t>
            </w:r>
          </w:p>
          <w:p w14:paraId="2B3B7591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5º da Lei 6.840/1980 e artigos 30 e 34, parágrafo 2º da Lei 10.931/2004.</w:t>
            </w:r>
          </w:p>
          <w:p w14:paraId="231A11D8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Imóvel gravado com alienação fiduciária pode ser objeto de premonitória de penhora, mas deve constar no requerimento sobre qual direito real recai a premonitória de penhora. O credor fiduciário é detentor da propriedade fiduciária e o devedor fiduciante é detentor do direito real de aquisição.</w:t>
            </w:r>
          </w:p>
          <w:p w14:paraId="3A2B60F6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22 da Lei 9.514/1997 e artigo 1.368-B do CC. </w:t>
            </w:r>
          </w:p>
          <w:p w14:paraId="2D33A0E0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Imóvel gravado com o patrimônio de afetação não se comunica com os demais bens, direitos e obrigações do patrimônio geral do incorporador e só responde por dívidas e obrigações vinculadas à respectiva incorporação.</w:t>
            </w:r>
          </w:p>
          <w:p w14:paraId="30AF6D3E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31-A da Lei 4.591/1964.</w:t>
            </w:r>
          </w:p>
          <w:p w14:paraId="54FEC262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Imóvel gravado com cláusula de impenhorabilidade pode ser objeto de premonitória de penhora somente nos casos de: a) execução de dívida tributária do respectivo imóvel; b) débito com a Fazenda Pública e dos seus Institutos; e c) dívida condominial.</w:t>
            </w:r>
          </w:p>
          <w:p w14:paraId="4C7401CB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Imóvel gravado como bem de família pode ser objeto de premonitória de penhora em decorrência de: a) dívida com trabalhador da própria residência; b) dívida de financiamento destinado à construção ou aquisição do respectivo imóvel; c) cobrança de imposto predial ou territorial, taxa e contribuição devidas em função do imóvel; d) execução de hipoteca oferecida como garantia real pelo casal ou entidade familiar; e) fiança concedida em contrato de locação; e f) dívida condominial.</w:t>
            </w:r>
          </w:p>
          <w:p w14:paraId="19759A92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1.715 do CC. </w:t>
            </w:r>
          </w:p>
          <w:p w14:paraId="4FB79400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Nos casos acima, devemos informar ao exequente por meio de nota de exigência. </w:t>
            </w:r>
          </w:p>
          <w:p w14:paraId="50B5B058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o exequente, mesmo tendo ciência dos referidos ônus, pretenda averbar a premonitória de penhora na matrícula do imóvel, é necessária a apresentação de uma declaração expressa de ciência do ônus e do parágrafo 5º do artigo 828 do CPC. </w:t>
            </w:r>
          </w:p>
          <w:p w14:paraId="653B12D5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828,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caput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do CPC.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E60AE" w14:textId="77777777" w:rsidR="00C27796" w:rsidRDefault="00C27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AAE2" w14:textId="77777777" w:rsidR="00C27796" w:rsidRDefault="00C27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96" w14:paraId="39CCD8B1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586F1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68865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 w14:paraId="4B2B510C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14 da LRP e artigo 4º da Lei Complementar 755/2019.</w:t>
            </w:r>
          </w:p>
          <w:p w14:paraId="57D128B4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 w14:paraId="0E135816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 w14:paraId="1726FD8A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emolumentos serão de:</w:t>
            </w:r>
          </w:p>
          <w:p w14:paraId="4DD95DCA" w14:textId="33162A1A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38680F">
              <w:rPr>
                <w:rFonts w:ascii="Times New Roman" w:eastAsia="Times New Roman" w:hAnsi="Times New Roman" w:cs="Times New Roman"/>
                <w:sz w:val="20"/>
                <w:szCs w:val="20"/>
              </w:rPr>
              <w:t>Averbação (sem valor)</w:t>
            </w:r>
            <w:r w:rsidR="003868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80F">
              <w:rPr>
                <w:rFonts w:ascii="Times New Roman" w:eastAsia="Times New Roman" w:hAnsi="Times New Roman" w:cs="Times New Roman"/>
                <w:sz w:val="20"/>
                <w:szCs w:val="20"/>
              </w:rPr>
              <w:t>por matrícula.</w:t>
            </w:r>
          </w:p>
          <w:p w14:paraId="26EFF33D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82 e item 3.1 da Tabela III da Lei Complementar 755/2019, atualizada e publicizada por meio da Circular 355/2023 da CGFE/SC.</w:t>
            </w:r>
          </w:p>
          <w:p w14:paraId="5E53315E" w14:textId="39387E7D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 w14:paraId="3899C48E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 w14:paraId="7E165A84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O FRJ incidirá à razão de 22,73% sobre o valor dos emolumentos.</w:t>
            </w:r>
          </w:p>
          <w:p w14:paraId="3A9B7F7A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3º-A da Lei 8.067/1990.</w:t>
            </w:r>
          </w:p>
          <w:p w14:paraId="7A76392B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ISS incidirá à razão de 5% sobre o valor dos emolumentos.</w:t>
            </w:r>
          </w:p>
          <w:p w14:paraId="247C1C43" w14:textId="5102F083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F3BC3" w:rsidRPr="008F3BC3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 do ISS: artigo 36 da Lei Municipal 3003/2011.</w:t>
            </w:r>
          </w:p>
          <w:p w14:paraId="4854F0B5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  <w:p w14:paraId="7DA33CB2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Gratuidade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Quando o interessado no ato for beneficiário da gratuidade da justiça, deve ser apresentado um documento extraído do processo que comprove o deferimento do benefício.</w:t>
            </w:r>
          </w:p>
          <w:p w14:paraId="7A5C7CE9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Fundamento: Decisão exarada em 24/01/2020, no Processo 313472-AJBGGT,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pelo  Juiz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Direito Diretor do Foro da Comarca da Capital/SC.</w:t>
            </w:r>
          </w:p>
          <w:p w14:paraId="4930E769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gratuidade deferida na fase de conhecimento se estende à fase de cumprimento de sentença.</w:t>
            </w:r>
          </w:p>
          <w:p w14:paraId="742A8F38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Fundamento: artigo 98, parágrafo 1º, inciso IX do CPC. </w:t>
            </w:r>
          </w:p>
          <w:p w14:paraId="1FC53CA6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título seja qualificado negativamente e o interessado no ato seja beneficiário da justiça gratuita ou o título tenha sido protocolado diretamente pelo juízo, devemos inserir na aba “custas” a rubrica “cancelamento de protocolo” com o tipo de isenção “cancelamento sem valor”.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475F5" w14:textId="77777777" w:rsidR="00C27796" w:rsidRDefault="00C27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270C" w14:textId="77777777" w:rsidR="00C27796" w:rsidRDefault="00C27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96" w14:paraId="1171B5DD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1D645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5D1FC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procedimento foi qualificado negativamente?</w:t>
            </w:r>
          </w:p>
          <w:p w14:paraId="15757DE1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 w14:paraId="576AD63C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As exigências relacionadas ao título judicial, protocolado pelo interessado, cujo atendimento dependa de: (a) manifestação do juízo, serão a este submetidas, por meio de ofício, devendo, ainda, ser formulada uma nota de exigência comunicando o interessado sobre a consulta ao juízo; e (b) providência do interessado, serão a ele submetidas, por meio de nota de exigência.</w:t>
            </w:r>
          </w:p>
          <w:p w14:paraId="38A9B029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 w14:paraId="60D7F21B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 w14:paraId="576FCE26" w14:textId="77777777" w:rsidR="00C27796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198 da Lei 6.015/1973 e artigo 189 do CNCGFE/SC.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4678F" w14:textId="77777777" w:rsidR="00C27796" w:rsidRDefault="00C27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DE66" w14:textId="77777777" w:rsidR="00C27796" w:rsidRDefault="00C27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25AABB6" w14:textId="77777777" w:rsidR="00C27796" w:rsidRDefault="00C2779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7A4971" w14:textId="77777777" w:rsidR="00C27796" w:rsidRDefault="000000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 w14:paraId="1D607C93" w14:textId="77777777" w:rsidR="00C27796" w:rsidRDefault="00C2779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997C515" w14:textId="77777777" w:rsidR="00C27796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Conferência inicial</w:t>
      </w:r>
      <w:r>
        <w:rPr>
          <w:rFonts w:ascii="Times New Roman" w:eastAsia="Times New Roman" w:hAnsi="Times New Roman" w:cs="Times New Roman"/>
          <w:sz w:val="20"/>
          <w:szCs w:val="20"/>
        </w:rPr>
        <w:t>: Data: ____/____/_____. Nome: _____________________. Assinatura: ____________________</w:t>
      </w:r>
    </w:p>
    <w:sectPr w:rsidR="00C27796">
      <w:pgSz w:w="11906" w:h="16838"/>
      <w:pgMar w:top="568" w:right="567" w:bottom="709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796"/>
    <w:rsid w:val="0038680F"/>
    <w:rsid w:val="008F3BC3"/>
    <w:rsid w:val="00C2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6135"/>
  <w15:docId w15:val="{682A7B18-3A8A-4AED-93EC-1B4F4853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1911</Words>
  <Characters>10324</Characters>
  <Application>Microsoft Office Word</Application>
  <DocSecurity>0</DocSecurity>
  <Lines>86</Lines>
  <Paragraphs>24</Paragraphs>
  <ScaleCrop>false</ScaleCrop>
  <Company/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daniella.scheeffer</dc:creator>
  <cp:lastModifiedBy>Daniella Scheeffer</cp:lastModifiedBy>
  <cp:revision>3</cp:revision>
  <dcterms:created xsi:type="dcterms:W3CDTF">2024-04-23T20:49:00Z</dcterms:created>
  <dcterms:modified xsi:type="dcterms:W3CDTF">2024-04-23T20:58:00Z</dcterms:modified>
</cp:coreProperties>
</file>