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MATRÍCUL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ADJUDICAÇÃO COMPULSÓRIA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carta de adjudicação ou o mandado de registro extraído do processo?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deve conter, em regra, a petição inicial e a decisão a ser cumprida.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644-A, parágrafo 1º, c/c artigo 843-I do Código de Normas da Corregedoria-Geral da Justiça do Estado de Santa Catarina -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 título seja digital, devemos conferir a autenticidade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644-A, parágrafo 2º, e artigo 645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falte algum documento e o processo seja digital, pode ser fornecida pelo interessado a chave de acesso aos autos, para que sejam extraídos os documentos necessários.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644-A, parágrafos 2º e 3º,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identificação dos transmitentes?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Por se tratar de um título judicial, com a transferência forçada do imóvel, podemos flexibilizar os elementos de qualificação pessoal, sendo suficiente a indicação do nome completo e do número do CPF dos transmitentes (proprietários do imóvel).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e parágrafo 17 da LRP e artigo 476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adquirentes?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Por se tratar de um título judicial podemos flexibilizar os elementos de qualificação pessoal, aceitando a apresentação de documentos e de declarações para complementação de dados.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e parágrafo 17 da LRP e artigo 476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adquirente for casado ou conviver em regime de união estável e tiver pactuado regime de bens diverso do legal, deve constar no título os dados do regime de bens e do registro, no Livro 3/RA, da convenção antenupcial ou de união estável. Nessa hipótese, devemos realizar uma averbação autônoma, após o registro do título, para publicizar o registro da convenção no Livro 3/RA.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244 da LRP e artigos 707 e 729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2º, parágrafo 1º, da Lei 7.433/1985 e artigo 222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 e 225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no título indícios da existência de parcelamento de solo clandestino, devemos encaminhar Ofício para o Ministério Público, com cópia da documentação apresentada.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1.038 do CNCGFE/SC.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Decisão proferida em 05/02/2018 no Processo SAE 11278-LAUNSO, pelo Juiz - Diretor do Foro da Comarca da Capital/SC.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objeto do título for um terreno e foram prometidas em pagamento unidades autônomas ainda não incorporadas ou instituídas, devemos solicitar a apresentação: (a) dos documentos relativos ao registro da incorporação ou da instituição, em protocolo separado, para registro concomitante; ou (b) de requerimento de cindibilidade, para que o registro seja realizado somente sobre o terreno, ficando o registro da promessa das unidades autônomas para um momento posterior.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13, 169, 172, 195, 217, 227, 236 e 237 da LRP, artigo 32 da Lei 4.591/1964 e artigo 1.332 do CC.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são urbanos?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rural, devem constar na matrícula a averbação com: (a) os dados do Certificado de Cadastro do Imóvel Rural (CCIR); (b) os dados da inscrição no Cadastro Ambiental Rural – CAR; e (c) as coordenadas georreferenciadas, certificada pelo INCRA, nos casos de imóveis com área igual ou superior a 250.000,00m². Caso não constem, devem ser apresentados os documentos competentes para a averbação.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 constar no título ou ser apresentada a Certidão Negativa de Débitos Relativos ao Imposto sobre a Propriedade Territorial Rural (CND-ITR) ou a declaração de dispensa dos adquirentes.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 e o objeto da transferência seja parte do imóvel da matrícula, devemos observar os requisitos para parcelamento do solo.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seja rural e esteja sendo adquirido por pessoa estrangeira, física ou jurídica, devemos observar os requisitos da Lei 5.709/1971.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na matrícula a informação de que o imóvel é rural, mas o imóvel não tenha tal destinação, deve ser apresentado, em protocolo separado, ofício de cancelamento do cadastro expedido pelo INCRA.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II, item 3, alínea “a”, da LRP, artigos 12, 18 e 19 da Lei 12.651/2012, artigo 685, inciso XII e parágrafo 3º, do CNCGJ/SC, artigos 4º, inciso I, e 65 da Lei 4.504/1964, artigo 15 do Decreto-Lei 57/1966, artigo 21 da Lei 9.393/1996, artigo 677-A do CNCGJ/SC e artigo 8º da Lei 5.868/1972.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trate-se de imóvel cadastrado como área de marinha deve constar no título ou ser apresentada a Certidão de Autorização de Transferência (CAT), com menção ao número do Registro Imobiliário Patrimonial (RIP).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1º e 2º do Decreto-Lei 9.760/1946, artigos 1º e 2º da Lei 9.636/1998 e artigos 3º e 3º-A do Decreto-Lei 2.398/1987.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caso de imóveis de marinha sob o regime de ocupação, com títulos lavrados entre particulares até 10/06/2014, não devemos exigir a apresentação da CAT.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7º, parágrafo 7º da Lei 9.636/1998 e artigo 8º, parágrafo 4º da Instrução Normativa 01/2018 da Secretaria do Patrimônio da União (SPU).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os imóveis sejam unidades autônomas, foi apresentada a prova de quitação dos débitos condominiais ou a declaração de dispensa?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quitação pode ser comprovada mediante declaração do transmitente, do síndico ou da administradora do condomínio. O adquirente pode dispensar a apresentação da comprovação de quitação ou da declaração do transmitente, assumindo eventual dívida existente.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quitação seja declarada: (a) pelo síndico, deve ser apresentada a ata de assembleia em que este foi eleito; e (b) pela administradora do condomínio, deve ser apresentada a ata de assembleia em que esta foi eleita, assim como os documentos societários da administradora para conferência da representação.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declaração seja física, assinada manuscritamente, deve conter o reconhecimento de firma. Caso seja digital,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é necessária a prova de quitação nas transferências de unidades autônomas em fase de incorporação imobiliária.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4º, parágrafo único, da Lei 4.591/1964 e artigo 813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os valores individualizados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valores declarados devem constar individualizadamente para cada imóvel, mesmo quando se tratar de unidades autônomas de condomínios edilícios (ex: apartamento, vaga de garagem e hobby-box).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III, item 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valores declarados pelas partes, para o negócio jurídico e/ou para fins de lançamento fiscal, apresentam dissonância com o valor de mercado do imóvel?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o valor declarado atingir o teto dos emolumentos, não devemos realizar nenhuma providência, mas quando não atingir, podemos utilizar como parâmetros, para encontrar o valor de mercado, os valores das transações anteriores constantes da mesma matrícula, atualizados monetariamente, os valores de transações atuais constantes nas matrículas de unidades similares, no mesmo empreendimento,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de compra e venda de imóveis ou de imobiliárias, tabela FIPE, valor de avaliação fiscal, entre outros.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Encontrado valor de mercado acima do valor declarado, devemos solicitar declaração de valor de mercado, indicando qual o parâmetro utilizado para impugnação, bem como a complementação dos custos de registro.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valor de mercado servirá, exclusivamente, como base de cálculo dos emolumentos, FRJ e ISS, não sendo necessária a complementação de outros tributos incidentes sobre o ato.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320 do CNCGFE/SC e artigo 6º, parágrafo 3º,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necessária a apresentação de declaração apartada, esta poderá ser assinada por qualquer um dos outorgados. Caso seja assinada manuscritamente deve conter o reconhecimento de firma e caso seja assinada digitalmente,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Lei 6.015/1973 e artigo 762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não impeditivo de alienação (ex: hipoteca e penhora comuns, servidão, etc.), os adquirentes devem declarar ciência.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 da LRP e artigo 1º da Lei 8.935/1994.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impeditivo de alienação (ex: alienação fiduciária,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 da Lei 9.514/1997 e artigo 1.368-B do Código Civil -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CCl (promessa de compra e venda); e Provimento 39/2014 do CNJ (indisponibilidade).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expressamente na decisão que o imposto de transmissão incidente sobre o ato registral foi recolhido?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conste, a guia do Imposto sobre a Transmissão Onerosa de Bens Imóveis por Ato Inter Vivos (ITBI) e o comprovante de recolhimento devem ser apresentados.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se tratar de parcelamento do ITBI, devem ser apresentados a guia originária do ITBI, com a identificação dos imóveis, o termo de concessão do parcelamento e a quitação de todas as guias com vencimento até a data do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812 do CNCGFE/SC, artigos 283, inciso III, e 287 do Código Tributário do Município de Florianópolis/SC, artigo 134, inciso VI, do Código Tributário Nacional, artigo 289 da LRP e artigo 30, inciso XI, da Lei 8.935/1994.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65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 base de cálculo deve ser o maior valor entre o valor constante do título, o valor venal atribuído para fins de cobrança do imposto de transmissão e o valor de mercado declarado pelos adjudicantes.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6º da Lei Complementar 755/2019 c/c artigo 320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66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Isenção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justiça gratuita,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Decisão exarada em 24/01/2020, no Processo 313472-AJBGGT, pelo  Juiz de Direito Diretor do Foro da Comarca da Capital/SC.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98, parágrafo 1º, inciso IX do Código de Processo Civil - CPC.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 da Instrução Normativa RFB 1.112/2010.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exigências relacionadas ao título judicial, protocolado pelo interessado,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4</Pages>
  <Words>2884</Words>
  <Characters>15823</Characters>
  <CharactersWithSpaces>18594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2024-04-29T09:15:37Z</dcterms:modified>
  <cp:revision>1</cp:revision>
  <dc:subject/>
  <dc:title/>
</cp:coreProperties>
</file>