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1"/>
        <w:pageBreakBefore w:val="false"/>
        <w:spacing w:lineRule="auto" w:line="240" w:before="0" w:after="0"/>
        <w:rPr>
          <w:rFonts w:ascii="Times New Roman" w:hAnsi="Times New Roman" w:eastAsia="Times New Roman" w:cs="Times New Roman"/>
          <w:position w:val="0"/>
          <w:sz w:val="20"/>
          <w:sz w:val="20"/>
          <w:szCs w:val="20"/>
          <w:vertAlign w:val="baseline"/>
        </w:rPr>
      </w:pPr>
      <w:r>
        <w:rPr/>
        <w:drawing>
          <wp:inline distT="0" distB="0" distL="0" distR="0">
            <wp:extent cx="2755900" cy="866140"/>
            <wp:effectExtent l="0" t="0" r="0" b="0"/>
            <wp:docPr id="1" name="Picture 322"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22" descr="Texto&#10;&#10;Descrição gerada automaticamente"/>
                    <pic:cNvPicPr>
                      <a:picLocks noChangeAspect="1" noChangeArrowheads="1"/>
                    </pic:cNvPicPr>
                  </pic:nvPicPr>
                  <pic:blipFill>
                    <a:blip r:embed="rId2"/>
                    <a:stretch>
                      <a:fillRect/>
                    </a:stretch>
                  </pic:blipFill>
                  <pic:spPr bwMode="auto">
                    <a:xfrm>
                      <a:off x="0" y="0"/>
                      <a:ext cx="2755900" cy="866140"/>
                    </a:xfrm>
                    <a:prstGeom prst="rect">
                      <a:avLst/>
                    </a:prstGeom>
                  </pic:spPr>
                </pic:pic>
              </a:graphicData>
            </a:graphic>
          </wp:inline>
        </w:drawing>
      </w:r>
    </w:p>
    <w:p>
      <w:pPr>
        <w:pStyle w:val="Normal1"/>
        <w:spacing w:lineRule="auto" w:line="240" w:before="0" w:after="0"/>
        <w:rPr>
          <w:rFonts w:ascii="Times New Roman" w:hAnsi="Times New Roman" w:eastAsia="Times New Roman" w:cs="Times New Roman"/>
          <w:position w:val="0"/>
          <w:sz w:val="20"/>
          <w:sz w:val="20"/>
          <w:szCs w:val="20"/>
          <w:vertAlign w:val="baseline"/>
        </w:rPr>
      </w:pPr>
      <w:r>
        <w:rPr/>
      </w:r>
    </w:p>
    <w:p>
      <w:pPr>
        <w:pStyle w:val="Normal1"/>
        <w:spacing w:lineRule="auto" w:line="240" w:before="0" w:after="0"/>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b/>
          <w:position w:val="0"/>
          <w:sz w:val="20"/>
          <w:sz w:val="20"/>
          <w:szCs w:val="20"/>
          <w:vertAlign w:val="baseline"/>
        </w:rPr>
        <w:t>PROTOCOLO: ______________ MATRÍCULA(S): __________________________________________</w:t>
      </w:r>
    </w:p>
    <w:p>
      <w:pPr>
        <w:pStyle w:val="Normal1"/>
        <w:pageBreakBefore w:val="false"/>
        <w:spacing w:lineRule="auto" w:line="240" w:before="0" w:after="0"/>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p>
      <w:pPr>
        <w:pStyle w:val="Normal1"/>
        <w:pageBreakBefore w:val="false"/>
        <w:spacing w:lineRule="auto" w:line="240" w:before="0" w:after="0"/>
        <w:rPr>
          <w:rFonts w:ascii="Times New Roman" w:hAnsi="Times New Roman" w:eastAsia="Times New Roman" w:cs="Times New Roman"/>
          <w:b/>
          <w:b/>
          <w:position w:val="0"/>
          <w:sz w:val="24"/>
          <w:sz w:val="24"/>
          <w:szCs w:val="24"/>
          <w:u w:val="single"/>
          <w:vertAlign w:val="baseline"/>
        </w:rPr>
      </w:pPr>
      <w:r>
        <w:rPr>
          <w:rFonts w:eastAsia="Times New Roman" w:cs="Times New Roman" w:ascii="Times New Roman" w:hAnsi="Times New Roman"/>
          <w:b/>
          <w:position w:val="0"/>
          <w:sz w:val="24"/>
          <w:sz w:val="24"/>
          <w:szCs w:val="24"/>
          <w:u w:val="single"/>
          <w:vertAlign w:val="baseline"/>
        </w:rPr>
        <w:t>ADJUDICAÇÃO</w:t>
      </w:r>
      <w:r>
        <w:rPr>
          <w:rFonts w:eastAsia="Times New Roman" w:cs="Times New Roman" w:ascii="Times New Roman" w:hAnsi="Times New Roman"/>
          <w:b/>
          <w:sz w:val="24"/>
          <w:szCs w:val="24"/>
          <w:u w:val="single"/>
        </w:rPr>
        <w:t xml:space="preserve"> - INVENTÁRIO JUDICIAL</w:t>
      </w:r>
    </w:p>
    <w:p>
      <w:pPr>
        <w:pStyle w:val="Normal1"/>
        <w:pageBreakBefore w:val="false"/>
        <w:spacing w:lineRule="auto" w:line="240" w:before="0" w:after="0"/>
        <w:rPr>
          <w:rFonts w:ascii="Times New Roman" w:hAnsi="Times New Roman" w:eastAsia="Times New Roman" w:cs="Times New Roman"/>
          <w:position w:val="0"/>
          <w:sz w:val="20"/>
          <w:sz w:val="20"/>
          <w:szCs w:val="20"/>
          <w:u w:val="single"/>
          <w:vertAlign w:val="baseline"/>
        </w:rPr>
      </w:pPr>
      <w:r>
        <w:rPr>
          <w:rFonts w:eastAsia="Times New Roman" w:cs="Times New Roman" w:ascii="Times New Roman" w:hAnsi="Times New Roman"/>
          <w:position w:val="0"/>
          <w:sz w:val="20"/>
          <w:sz w:val="20"/>
          <w:szCs w:val="20"/>
          <w:u w:val="single"/>
          <w:vertAlign w:val="baseline"/>
        </w:rPr>
      </w:r>
    </w:p>
    <w:tbl>
      <w:tblPr>
        <w:tblStyle w:val="Table1"/>
        <w:tblW w:w="10350" w:type="dxa"/>
        <w:jc w:val="left"/>
        <w:tblInd w:w="63" w:type="dxa"/>
        <w:tblLayout w:type="fixed"/>
        <w:tblCellMar>
          <w:top w:w="0" w:type="dxa"/>
          <w:left w:w="108" w:type="dxa"/>
          <w:bottom w:w="0" w:type="dxa"/>
          <w:right w:w="108" w:type="dxa"/>
        </w:tblCellMar>
        <w:tblLook w:val="0000"/>
      </w:tblPr>
      <w:tblGrid>
        <w:gridCol w:w="503"/>
        <w:gridCol w:w="8601"/>
        <w:gridCol w:w="645"/>
        <w:gridCol w:w="600"/>
      </w:tblGrid>
      <w:tr>
        <w:trPr/>
        <w:tc>
          <w:tcPr>
            <w:tcW w:w="503"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8601"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45"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b/>
                <w:position w:val="0"/>
                <w:sz w:val="20"/>
                <w:sz w:val="20"/>
                <w:szCs w:val="20"/>
                <w:vertAlign w:val="baseline"/>
              </w:rPr>
              <w:t>Sim</w:t>
            </w:r>
          </w:p>
        </w:tc>
        <w:tc>
          <w:tcPr>
            <w:tcW w:w="60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b/>
                <w:position w:val="0"/>
                <w:sz w:val="20"/>
                <w:sz w:val="20"/>
                <w:szCs w:val="20"/>
                <w:vertAlign w:val="baseline"/>
              </w:rPr>
              <w:t>Não</w:t>
            </w:r>
          </w:p>
        </w:tc>
      </w:tr>
      <w:tr>
        <w:trPr>
          <w:trHeight w:val="520" w:hRule="atLeast"/>
        </w:trPr>
        <w:tc>
          <w:tcPr>
            <w:tcW w:w="503"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t>1</w:t>
            </w:r>
          </w:p>
        </w:tc>
        <w:tc>
          <w:tcPr>
            <w:tcW w:w="8601"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Consta outra prenotação vinculada às matrículas objetos do presente título?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conferência da prenotação deve ser realizada pelo campo “visualizar pendências do imóvel”, na aba de matrículas, quando da conferência inicial, do registro e da conferência final.</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Se a resposta for positiva, devemos verificar se os títulos ou procedimentos prenotados impedem a inscrição do ato requerido ou se, não impedindo, qual deve ser inscrito primeiro.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haja divergência entre as matrículas constantes no título e as matrículas prenotadas no sistema, devemos corrigir a prenotação e anotar a correção manuscritamente no protocolo.</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11, 12, 174, 182, 186 e 190 da Lei 6.015/1973 - Lei de Registros Públicos - LRP.</w:t>
            </w:r>
          </w:p>
        </w:tc>
        <w:tc>
          <w:tcPr>
            <w:tcW w:w="645"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0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260" w:hRule="atLeast"/>
        </w:trPr>
        <w:tc>
          <w:tcPr>
            <w:tcW w:w="503"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t>2</w:t>
            </w:r>
          </w:p>
        </w:tc>
        <w:tc>
          <w:tcPr>
            <w:tcW w:w="8601"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Foi apresentada a carta de adjudicação, o formal de partilha ou o mandado de registro extraído do processo de inventário?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 título deve conter, em regra, a petição inicial, a certidão de óbito, o plano de partilha e a decisão homologatória.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644-A, parágrafo 1º c/c artigo 843-H do Código de Normas da Corregedoria-Geral da Justiça do Estado de Santa Catarina - CNCGJ/SC.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Caso o título seja digital, devemos conferir a autenticidade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xml:space="preserve">: artigo 644-A, parágrafo 2º, e artigo 645 do CNCGJ/SC.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falte algum documento e o processo seja digital, pode ser fornecida pelo interessado a chave de acesso aos autos, para que sejam extraídos os documentos necessários.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644-A, parágrafos 2º e 3º do CNCGJ/SC.</w:t>
            </w:r>
          </w:p>
        </w:tc>
        <w:tc>
          <w:tcPr>
            <w:tcW w:w="645"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0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260" w:hRule="atLeast"/>
        </w:trPr>
        <w:tc>
          <w:tcPr>
            <w:tcW w:w="503"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t>3</w:t>
            </w:r>
          </w:p>
        </w:tc>
        <w:tc>
          <w:tcPr>
            <w:tcW w:w="8601"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Consta no título a identificação do autor da herança?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Por se tratar de um título judicial, a qualificação do autor da herança pode ser flexibilizada, bastando a menção ao nome completo e ao número do CPF, para evitar a possibilidade de homonímia.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176, parágrafo 1º, inciso III, item 2, alíneas “a” e “b” da LRP e artigo 476 do CNCGJ/SC.</w:t>
            </w:r>
          </w:p>
        </w:tc>
        <w:tc>
          <w:tcPr>
            <w:tcW w:w="645"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0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260" w:hRule="atLeast"/>
        </w:trPr>
        <w:tc>
          <w:tcPr>
            <w:tcW w:w="503"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t>4</w:t>
            </w:r>
          </w:p>
        </w:tc>
        <w:tc>
          <w:tcPr>
            <w:tcW w:w="8601"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Deve ser realizada alguma averbação referente à qualificação do autor da herança (óbito, retificação de dados de qualificação, separação, divórcio, etc.)?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averbação do óbito pode ser realizada no próprio protocolo do formal de partilha, com base em requerimento e na certidão de óbito constante no formal de partilha ou apresentada apartada (utilizar roteiro de conferência específico para o ato).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As demais averbações devem ser realizadas por meio de requerimento, acompanhado dos documentos competentes, apresentados em protocolo separado.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167, inciso II e 176, parágrafo 1º, inciso II, item 4, inciso III, item 2 e 213, inciso I, alínea “g” da LRP.</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complementação de dados de especialidade subjetiva ausentes ou insuficientes, ou sua modificação, será objeto de ato único por pessoa ou casal, ainda que faça referência a vários elementos, excetuadas as hipóteses de títulos diversos, que devem ter prenotações distintas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706, parágrafo 6º, 713, parágrafos 8º e 9º, do CN/CG-Extra.</w:t>
            </w:r>
          </w:p>
        </w:tc>
        <w:tc>
          <w:tcPr>
            <w:tcW w:w="645"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0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260" w:hRule="atLeast"/>
        </w:trPr>
        <w:tc>
          <w:tcPr>
            <w:tcW w:w="503"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t>5</w:t>
            </w:r>
          </w:p>
        </w:tc>
        <w:tc>
          <w:tcPr>
            <w:tcW w:w="8601"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Consta no título a qualificação dos adquirentes?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Os elementos mínimos para qualificação das pessoas físicas são: nome, nacionalidade, estado civil, CPF e endereço.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Por se tratar de um título judicial podemos flexibilizar os elementos de qualificação pessoal, aceitando a apresentação de documentos e de declarações para complementação de dados.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Devemos considerar, para fins de registro, o estado civil dos herdeiros no momento da homologação da partilha.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176, parágrafo 1º, inciso III, item 2, alíneas “a” e “b” e parágrafo 17 da LRP e artigo 476 do CNCGJ/SC.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Quando o adquirente for casado ou conviver em regime de união estável e tiver pactuado regime de bens diverso do legal, deve constar no título os dados do regime de bens e do registro, no Livro 3/RA, da convenção antenupcial ou de união estável. Nessa hipótese, devemos realizar uma averbação autônoma, após o registro do título, para publicizar o registro da convenção no Livro 3/RA.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244 da LRP e artigos 707 e 729 do CN/CG-Extra.</w:t>
            </w:r>
          </w:p>
        </w:tc>
        <w:tc>
          <w:tcPr>
            <w:tcW w:w="645"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0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260" w:hRule="atLeast"/>
        </w:trPr>
        <w:tc>
          <w:tcPr>
            <w:tcW w:w="503"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t>6</w:t>
            </w:r>
          </w:p>
        </w:tc>
        <w:tc>
          <w:tcPr>
            <w:tcW w:w="8601"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Consta no título a qualificação dos imóveis?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os imóveis tenham matrículas próprias, pode ser consignado no título somente a localização completa e o número da matrícula, não havendo necessidade da transcrição completa da descrição.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2º, parágrafo 1º, da Lei 7.433/1985 e artigo 222 da LRP.</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Quando não houver edificação no terreno, é necessário constar o nome do logradouro, a expressão “s/nº”, se o imóvel fica no lado par ou ímpar do logradouro e a indicação: (a) da distância da esquina ou edificação mais próxima; ou (b) da numeração predial de imóvel confrontante, complementando, ainda, se este fica do lado direito ou esquerdo.</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176, parágrafo 1º, inciso II, item 3, alíneas “a” e “b” e 225 da LRP.</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conste no título indícios da existência de parcelamento de solo clandestino, devemos encaminhar Ofício para o Ministério Público, com cópia da documentação apresentada.</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1.038 do CNCGFE/SC.</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Quando a descrição da matrícula for omissa em relação às medidas perimetrais e/ou área total, é recomendável a realização do procedimento de retificação de área, previsto nos artigos 212 e 213 da LRP. Todavia, quando não houver dúvida sobre a identificação do imóvel e o mesmo for alienado ou onerado integralmente, fica facultado ao interessado requerer que seja realizada a inscrição do título sem a especialização do imóvel, ficando ciente de que a retificação de área será exigida caso seja necessário inscrever algum ato em que a conferência dos elementos de qualificação do imóvel seja imprescindível, como por exemplo: atingimento do sistema viário, unificação, parcelamento do solo, incorporação imobiliária, instituição de condomínio, etc. </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Decisão proferida em 05/02/2018 no Processo SAE 11278-LAUNSO, pelo Juiz - Diretor do Foro da Comarca da Capital/SC.</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Quando o objeto do título for um terreno e foram prometidas em pagamento unidades autônomas ainda não incorporadas ou instituídas, devemos solicitar a apresentação: (a) dos documentos relativos ao registro da incorporação ou da instituição, em protocolo separado, para registro concomitante; ou (b) de requerimento de cindibilidade, para que o registro seja realizado somente sobre o terreno, ficando o registro da promessa das unidades autônomas para um momento posterior.</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xml:space="preserve">: artigos 13, 169, 172, 195, 217, 227, 236 e 237 da LRP, artigo 32 da Lei 4.591/1964 e artigo 1.332 do CC. </w:t>
            </w:r>
          </w:p>
        </w:tc>
        <w:tc>
          <w:tcPr>
            <w:tcW w:w="645"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0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260" w:hRule="atLeast"/>
        </w:trPr>
        <w:tc>
          <w:tcPr>
            <w:tcW w:w="503"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7</w:t>
            </w:r>
          </w:p>
        </w:tc>
        <w:tc>
          <w:tcPr>
            <w:tcW w:w="8601"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Os imóveis são urbanos?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seja rural, devem constar na matrícula a averbação com: (a) os dados do Certificado de Cadastro do Imóvel Rural (CCIR); (b) os dados da inscrição no Cadastro Ambiental Rural – CAR; e (c) as coordenadas georreferenciadas, certificada pelo INCRA, nos casos de imóveis com área igual ou superior a 250.000,00m². Caso não constem, devem ser apresentados os documentos competentes para a averbação.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Deve constar no título ou ser apresentada a Certidão Negativa de Débitos Relativos ao Imposto sobre a Propriedade Territorial Rural (CND-ITR) ou a declaração de dispensa dos adquirentes.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seja rural e o objeto da transferência seja parte do imóvel da matrícula, devemos observar os requisitos para parcelamento do solo.</w:t>
            </w:r>
          </w:p>
          <w:p>
            <w:pPr>
              <w:pStyle w:val="Normal1"/>
              <w:widowControl w:val="false"/>
              <w:spacing w:lineRule="auto" w:line="240" w:before="0" w:after="0"/>
              <w:jc w:val="left"/>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Caso seja rural e esteja sendo adquirido por pessoa estrangeira, física ou jurídica, devemos observar os requisitos da Lei 5.709/1971.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conste na matrícula a informação de que o imóvel é rural, mas o imóvel não tenha tal destinação, deve ser apresentado, em protocolo separado, ofício de cancelamento do cadastro expedido pelo INCRA.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176, inciso II, item 3, alínea “a”, da LRP, artigos 12, 18 e 19 da Lei 12.651/2012, artigo 685, inciso XII e parágrafo 3º, do CNCGJ/SC, artigos 4º, inciso I, e 65 da Lei 4.504/1964, artigo 15 do Decreto-Lei 57/1966, artigo 21 da Lei 9.393/1996, artigo 677-A do CNCGJ/SC e artigo 8º da Lei 5.868/1972.</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trate-se de imóvel cadastrado como área de marinha deve constar no título ou ser apresentada a Certidão de Autorização de Transferência (CAT), com menção ao número do Registro Imobiliário Patrimonial (RIP).</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1º e 2º do Decreto-Lei 9.760/1946, artigos 1º e 2º da Lei 9.636/1998 e artigos 3º e 3º-A do Decreto-Lei 2.398/1987.</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No caso de imóveis de marinha sob o regime de ocupação, com títulos lavrados entre particulares até 10/06/2014, não devemos exigir a apresentação da CAT.</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xml:space="preserve">: artigo 7º, parágrafo 7º da Lei 9.636/1998 e artigo 8º, parágrafo 4º da Instrução Normativa 01/2018 da Secretaria do Patrimônio da União (SPU). </w:t>
            </w:r>
          </w:p>
        </w:tc>
        <w:tc>
          <w:tcPr>
            <w:tcW w:w="645"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0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260" w:hRule="atLeast"/>
        </w:trPr>
        <w:tc>
          <w:tcPr>
            <w:tcW w:w="503"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8</w:t>
            </w:r>
          </w:p>
        </w:tc>
        <w:tc>
          <w:tcPr>
            <w:tcW w:w="8601"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Deve ser efetuada alguma inscrição referente ao imóvel (inscrição imobiliária, logradouro, construção, desmembramento, incorporação imobiliária, unificação, CAR, etc.)?</w:t>
            </w:r>
          </w:p>
          <w:p>
            <w:pPr>
              <w:pStyle w:val="Normal1"/>
              <w:widowControl w:val="false"/>
              <w:spacing w:lineRule="auto" w:line="240" w:before="0" w:after="0"/>
              <w:jc w:val="both"/>
              <w:rPr>
                <w:rFonts w:ascii="Times New Roman" w:hAnsi="Times New Roman" w:eastAsia="Times New Roman" w:cs="Times New Roman"/>
                <w:sz w:val="20"/>
                <w:szCs w:val="20"/>
                <w:u w:val="single"/>
              </w:rPr>
            </w:pPr>
            <w:r>
              <w:rPr>
                <w:rFonts w:eastAsia="Times New Roman" w:cs="Times New Roman" w:ascii="Times New Roman" w:hAnsi="Times New Roman"/>
                <w:sz w:val="20"/>
                <w:szCs w:val="20"/>
              </w:rPr>
              <w:t>- Caso seja necessário, devem ser apresentados em protocolo separado o requerimento e os documentos competentes.</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176, parágrafo 1º, inciso II, item 3, alíneas “a” e “b”, 212, 213 e 225, todos da LRP.</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complementação de dados de especialidade objetiva ausentes ou insuficientes, ou sua modificação, será objeto de ato único, ainda que faça referência a vários elementos, excetuadas a averbação de retificação de área e as hipóteses de títulos diversos, que devem ter prenotações distintas.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701, parágrafo 2º, do CNCGFE/SC.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Devemos verificar se o título ou a matrícula contêm elementos que indiquem a existência de uma edificação ainda não averbada. Este procedimento é necessário, uma vez que a averbação da edificação é um requisito indispensável para registro do título. Se a edificação em questão não possuir </w:t>
            </w:r>
            <w:r>
              <w:rPr>
                <w:rFonts w:eastAsia="Times New Roman" w:cs="Times New Roman" w:ascii="Times New Roman" w:hAnsi="Times New Roman"/>
                <w:i/>
                <w:sz w:val="20"/>
                <w:szCs w:val="20"/>
              </w:rPr>
              <w:t>habite-se</w:t>
            </w:r>
            <w:r>
              <w:rPr>
                <w:rFonts w:eastAsia="Times New Roman" w:cs="Times New Roman" w:ascii="Times New Roman" w:hAnsi="Times New Roman"/>
                <w:sz w:val="20"/>
                <w:szCs w:val="20"/>
              </w:rPr>
              <w:t xml:space="preserve"> ou, mesmo que possua, sua averbação não for possível devido à dependência de outro procedimento, como usucapião, unificação, desmembramento, etc., um dos outorgados no negócio jurídico pode declarar tal circunstância e requerer a cindibilidade do título. Mediante o pedido de cindibilidade, devemos proceder ao registro do título e à averbação para informar sobre a necessidade de regularização da situação da edificação.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798 do CNCGFE/SC.</w:t>
            </w:r>
          </w:p>
        </w:tc>
        <w:tc>
          <w:tcPr>
            <w:tcW w:w="645"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0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260" w:hRule="atLeast"/>
        </w:trPr>
        <w:tc>
          <w:tcPr>
            <w:tcW w:w="503"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9</w:t>
            </w:r>
          </w:p>
        </w:tc>
        <w:tc>
          <w:tcPr>
            <w:tcW w:w="8601"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Consta no título os valores individualizados dos imóveis?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Os valores declarados devem constar individualizadamente para cada imóvel, mesmo quando se tratar de unidades autônomas de condomínios edilícios (ex: apartamento, vaga de garagem e hobby-box).</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176, inciso III, item 5 da LRP.</w:t>
            </w:r>
          </w:p>
        </w:tc>
        <w:tc>
          <w:tcPr>
            <w:tcW w:w="645"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0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260" w:hRule="atLeast"/>
        </w:trPr>
        <w:tc>
          <w:tcPr>
            <w:tcW w:w="503"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10</w:t>
            </w:r>
          </w:p>
        </w:tc>
        <w:tc>
          <w:tcPr>
            <w:tcW w:w="8601"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Os valores declarados pelas partes, para o negócio jurídico e/ou para fins de lançamento fiscal, apresentam dissonância com o valor de mercado do imóvel?</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Quando o valor declarado atingir o teto dos emolumentos, não devemos realizar nenhuma providência, mas quando não atingir, podemos utilizar como parâmetros, para encontrar o valor de mercado, os valores das transações anteriores constantes da mesma matrícula, atualizados monetariamente, os valores de transações atuais constantes nas matrículas de unidades similares, no mesmo empreendimento, </w:t>
            </w:r>
            <w:r>
              <w:rPr>
                <w:rFonts w:eastAsia="Times New Roman" w:cs="Times New Roman" w:ascii="Times New Roman" w:hAnsi="Times New Roman"/>
                <w:i/>
                <w:sz w:val="20"/>
                <w:szCs w:val="20"/>
              </w:rPr>
              <w:t>sites</w:t>
            </w:r>
            <w:r>
              <w:rPr>
                <w:rFonts w:eastAsia="Times New Roman" w:cs="Times New Roman" w:ascii="Times New Roman" w:hAnsi="Times New Roman"/>
                <w:sz w:val="20"/>
                <w:szCs w:val="20"/>
              </w:rPr>
              <w:t xml:space="preserve"> de compra e venda de imóveis ou de imobiliárias, tabela FIPE, valor de avaliação fiscal, entre outros.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Encontrado valor de mercado acima do valor declarado, devemos solicitar declaração de valor de mercado, indicando qual o parâmetro utilizado para impugnação, bem como a complementação dos custos de registro.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O valor de mercado servirá, exclusivamente, como base de cálculo dos emolumentos, FRJ e ISS, não sendo necessária a complementação de outros tributos incidentes sobre o ato. </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320 do CNCGFE/SC e artigo 6º, parágrafo 3º, da Lei Complementar 755/2019.</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Quando necessária a apresentação de declaração apartada, esta poderá ser assinada por qualquer um dos outorgados. Caso seja assinada manuscritamente deve conter o reconhecimento de firma e caso seja assinada digitalmente, serão admitidas assinaturas eletrônicas qualificadas, com uso de certificado emitido com os requisitos da Infraestrutura de Chaves Públicas Brasileira (ICP-Brasil), ou avançadas, por meio do “Portal Gov.br”.</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xml:space="preserve">: artigo 221, inciso II, da Lei 6.015/1973 e artigo 762 do CNCGFE/SC.   </w:t>
            </w:r>
          </w:p>
        </w:tc>
        <w:tc>
          <w:tcPr>
            <w:tcW w:w="645"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0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260" w:hRule="atLeast"/>
        </w:trPr>
        <w:tc>
          <w:tcPr>
            <w:tcW w:w="503"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t>1</w:t>
            </w:r>
            <w:r>
              <w:rPr>
                <w:rFonts w:eastAsia="Times New Roman" w:cs="Times New Roman" w:ascii="Times New Roman" w:hAnsi="Times New Roman"/>
                <w:sz w:val="20"/>
                <w:szCs w:val="20"/>
              </w:rPr>
              <w:t>1</w:t>
            </w:r>
          </w:p>
        </w:tc>
        <w:tc>
          <w:tcPr>
            <w:tcW w:w="8601"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Sobre os imóveis incide algum ônus ou ação judicial?</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conste algum ônus ou ação não impeditivo de alienação (ex: hipoteca e penhora comuns, servidão, etc.), os adquirentes devem declarar ciência.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1º da LRP e artigo 1º da Lei 8.935/1994.</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conste algum ônus ou ação impeditivo de alienação (ex: alienação fiduciária, hipoteca cedular, hipoteca em favor do SFH, penhora da União Federal ou de suas autarquias e fundações, promessa de alienação em favor de terceiro, indisponibilidade, etc.), o interessado pode promover o cancelamento do gravame ou apresentar uma autorização do instituidor, quando possível.</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xml:space="preserve">: artigo 22 da Lei 9.514/1997 e artigo 1.368-B do Código Civil - CC (alienação fiduciária); artigo 59 do Decreto-Lei 167/1967, artigo 51 do Decreto-Lei 413/1969, artigo 3º da Lei 6.313/1975, artigo 5º da Lei 6.840/1980 e artigos 30 e 34, parágrafo 2º da Lei 10.931/2004 (hipotecas cedulares); artigo 1º, parágrafo único da Lei 8.004/1990 e artigo 292 da LRP (hipoteca do SFH); artigo 53, parágrafo 1º da Lei 8.212/1991 (penhora da União e suas autarquias e fundações); artigos 1.417 e 1.418 do CC (promessa de compra e venda); e Provimento 39/2014 do CNJ (indisponibilidade). </w:t>
            </w:r>
          </w:p>
        </w:tc>
        <w:tc>
          <w:tcPr>
            <w:tcW w:w="645"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0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260" w:hRule="atLeast"/>
        </w:trPr>
        <w:tc>
          <w:tcPr>
            <w:tcW w:w="503"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t>1</w:t>
            </w:r>
            <w:r>
              <w:rPr>
                <w:rFonts w:eastAsia="Times New Roman" w:cs="Times New Roman" w:ascii="Times New Roman" w:hAnsi="Times New Roman"/>
                <w:sz w:val="20"/>
                <w:szCs w:val="20"/>
              </w:rPr>
              <w:t>2</w:t>
            </w:r>
          </w:p>
        </w:tc>
        <w:tc>
          <w:tcPr>
            <w:tcW w:w="8601"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A transferência é relativa à propriedade plena ou à nua-propriedade?</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Quando o título tiver como objeto apenas a transferência da nua-propriedade, com a reserva de usufruto ao transmitente, devemos realizar dois atos de registro com valor declarado.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No primeiro ato deve ser registrada a transferência da nua-propriedade e no segundo ato deve ser registrada a reserva do usufruto.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É possível, ainda, que na escritura contenha a transferência da nua-propriedade e a instituição do usufruto para um terceiro. Nessa hipótese, também, devem ser realizados dois registros com valor declarado.</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835 e 876 do CNCGFE/SC.</w:t>
            </w:r>
          </w:p>
        </w:tc>
        <w:tc>
          <w:tcPr>
            <w:tcW w:w="645"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0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260" w:hRule="atLeast"/>
        </w:trPr>
        <w:tc>
          <w:tcPr>
            <w:tcW w:w="503"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t>1</w:t>
            </w:r>
            <w:r>
              <w:rPr>
                <w:rFonts w:eastAsia="Times New Roman" w:cs="Times New Roman" w:ascii="Times New Roman" w:hAnsi="Times New Roman"/>
                <w:sz w:val="20"/>
                <w:szCs w:val="20"/>
              </w:rPr>
              <w:t>3</w:t>
            </w:r>
          </w:p>
        </w:tc>
        <w:tc>
          <w:tcPr>
            <w:tcW w:w="8601"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Consta expressamente na decisão que o imposto de transmissão incidente sobre o ato registral foi recolhido?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não conste, a guia do imposto e o comprovante de recolhimento devem ser apresentados.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Quando a adjudicação for decorrente do pagamento integral da herança para um único herdeiro, deve ser apresentada a Declaração de Informações Econômico-Fiscais - DIEF e o respectivo pagamento do Imposto de Transmissão Causa Mortis e Doação - ITCMD.</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Além do ITCMD </w:t>
            </w:r>
            <w:r>
              <w:rPr>
                <w:rFonts w:eastAsia="Times New Roman" w:cs="Times New Roman" w:ascii="Times New Roman" w:hAnsi="Times New Roman"/>
                <w:i/>
                <w:sz w:val="20"/>
                <w:szCs w:val="20"/>
              </w:rPr>
              <w:t>causa mortis</w:t>
            </w:r>
            <w:r>
              <w:rPr>
                <w:rFonts w:eastAsia="Times New Roman" w:cs="Times New Roman" w:ascii="Times New Roman" w:hAnsi="Times New Roman"/>
                <w:sz w:val="20"/>
                <w:szCs w:val="20"/>
              </w:rPr>
              <w:t>, quando houver cessão de direitos, deve ser comprovado o recolhimento do respectivo imposto. Quando houver cessão gratuita incidirá o ITCMD e quando a cessão for onerosa incidirá o Imposto sobre a Transmissão Onerosa de Bens Imóveis por Ato Inter Vivos - ITBI.</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Os valores dos bens constantes na DIEF não podem ser inferiores aos valores constantes no título.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Quando o ITBI for parcelado, devem ser apresentados a guia originária do ITBI, com a identificação dos imóveis, o termo de concessão do parcelamento e a quitação de todas as guias com vencimento até a data do protocolo.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Quando o ITCMD for parcelado, o registro poderá ser realizado somente após a comprovação da quitação integral do parcelamento.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812 do CNCGFE/SC, artigos 283, inciso III, e 287 do Código Tributário do Município de Florianópolis/SC, artigos 2º, 3º, 7º, 12, parágrafo único, 12-A da Lei 13.136/2004, artigo 134, inciso VI, do Código Tributário Nacional, artigo 289 da LRP e artigo 30, inciso XI, da Lei 8.935/1994.</w:t>
            </w:r>
          </w:p>
        </w:tc>
        <w:tc>
          <w:tcPr>
            <w:tcW w:w="645"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0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260" w:hRule="atLeast"/>
        </w:trPr>
        <w:tc>
          <w:tcPr>
            <w:tcW w:w="503"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14</w:t>
            </w:r>
          </w:p>
        </w:tc>
        <w:tc>
          <w:tcPr>
            <w:tcW w:w="8601"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 xml:space="preserve">Os custos foram recolhidos corretamente?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artigo 14 da LRP e artigo 4º da Lei Complementar 755/2019.</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Os custos serão formados pelos emolumentos, acrescidos dos valores relativos ao Fundo do Reaparelhamento da Justiça - FRJ, ao Imposto Sobre Serviços - ISS e à taxa de cartão, se houver.</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artigo 12, parágrafo 4º, da Lei Complementar 755/2019 e artigo 22 da Lei Complementar 807/2022.</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Os emolumentos serão de:</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u w:val="single"/>
              </w:rPr>
              <w:t>Averbação (sem valor) - Óbito</w:t>
            </w:r>
            <w:r>
              <w:rPr>
                <w:rFonts w:eastAsia="Times New Roman" w:cs="Times New Roman" w:ascii="Times New Roman" w:hAnsi="Times New Roman"/>
                <w:sz w:val="20"/>
                <w:szCs w:val="20"/>
              </w:rPr>
              <w:t xml:space="preserve">: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artigo 82 e item 3.1 da Tabela III da Lei Complementar 755/2019, atualizada e publicizada por meio da Circular 355/2023 da CGFE/SC.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u w:val="single"/>
              </w:rPr>
              <w:t>Registro (com valor) - Partilha</w:t>
            </w:r>
            <w:r>
              <w:rPr>
                <w:rFonts w:eastAsia="Times New Roman" w:cs="Times New Roman" w:ascii="Times New Roman" w:hAnsi="Times New Roman"/>
                <w:sz w:val="20"/>
                <w:szCs w:val="20"/>
              </w:rPr>
              <w:t>: Serão devidos os emolumentos correspondentes aos valores constantes no item 2.2 da Tabela III da Lei Complementar 755/2019, atualizada e publicizada por meio da Circular 355/2023 da CGFE/SC.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u w:val="single"/>
              </w:rPr>
              <w:t>Base de Cálculo</w:t>
            </w:r>
            <w:r>
              <w:rPr>
                <w:rFonts w:eastAsia="Times New Roman" w:cs="Times New Roman" w:ascii="Times New Roman" w:hAnsi="Times New Roman"/>
                <w:sz w:val="20"/>
                <w:szCs w:val="20"/>
              </w:rPr>
              <w:t>: Quando houver apenas atribuição de meação ao cônjuge ou companheiro supérstite e partilha entre os herdeiros, os emolumentos incidirão apenas sobre o valor individual de cada imóvel transferido, excluída a meação. Entretanto, quando houver partilha não igualitária, pagamento de meação com bens exclusivos ou imóveis localizados em mais de uma circunscrição imobiliária sem atribuição de meação em cada bem de forma individualizada, os emolumentos incidirão sobre o valor integral de cada imóvel.</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artigo 68 da Lei Complementar 755/2019.</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Para apuração da base de cálculo deve ser considerado o maior valor entre o valor declarado para o imóvel, o valor venal atribuído para fins de cobrança do imposto de transmissão e o valor real ou de mercado.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artigo 6º da Lei Complementar 755/2019 c/c artigo 320 do CNCGJ/SC.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u w:val="single"/>
              </w:rPr>
              <w:t>Unidades “Acessórias”</w:t>
            </w:r>
            <w:r>
              <w:rPr>
                <w:rFonts w:eastAsia="Times New Roman" w:cs="Times New Roman" w:ascii="Times New Roman" w:hAnsi="Times New Roman"/>
                <w:sz w:val="20"/>
                <w:szCs w:val="20"/>
              </w:rPr>
              <w:t>: Nos registros de negócio jurídico, com as mesmas partes e que envolvam unidades autônomas principais (apartamento, sala, loja, etc.) e unidades autônomas “acessórias” (vaga, hobby-box, etc.) devem ser cobrados emolumentos integrais pelo imóvel de maior valor e 2/3 (redução de 1/3) dos emolumentos previstos na tabela para as unidades autônomas “acessórias”.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artigo 66 da Lei Complementar 755/2019.</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u w:val="single"/>
              </w:rPr>
              <w:t>Cancelamento de Protocolo</w:t>
            </w:r>
            <w:r>
              <w:rPr>
                <w:rFonts w:eastAsia="Times New Roman" w:cs="Times New Roman" w:ascii="Times New Roman" w:hAnsi="Times New Roman"/>
                <w:sz w:val="20"/>
                <w:szCs w:val="20"/>
              </w:rPr>
              <w:t>: Ocorrendo o cancelamento do protocolo depois da qualificação registral, a requerimento do interessado ou em razão do simples decurso do prazo de prenotação (artigo 205 da LRP), sem o cumprimento das exigências formuladas, serão devidos os emolumentos relativos ao cancelamento de protocolo.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item 8 da Tabela III da Lei Complementar 755/2019, atualizada e publicizada por meio da Circular 355/2023 da CGFE/SC.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u w:val="single"/>
              </w:rPr>
              <w:t>Isenção</w:t>
            </w:r>
            <w:r>
              <w:rPr>
                <w:rFonts w:eastAsia="Times New Roman" w:cs="Times New Roman" w:ascii="Times New Roman" w:hAnsi="Times New Roman"/>
                <w:sz w:val="20"/>
                <w:szCs w:val="20"/>
              </w:rPr>
              <w:t>: Quando o interessado no ato for beneficiário da gratuidade da justiça, deve ser apresentado um documento extraído do processo que comprove o deferimento do benefício.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Decisão exarada em 24/01/2020, no Processo 313472-AJBGGT, pelo  Juiz de Direito Diretor do Foro da Comarca da Capital/SC.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gratuidade deferida na fase de conhecimento se estende à fase de cumprimento de sentença.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artigo 98, parágrafo 1º, inciso IX do Código de Processo Civil - CPC..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o título seja qualificado negativamente e o interessado no ato seja beneficiário da justiça gratuita ou o título tenha sido protocolado diretamente pelo juízo, devemos inserir na aba “custas” a rubrica “cancelamento de protocolo” com o tipo de isenção “cancelamento sem valor”.</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 FRJ incidirá à razão de 22,73% sobre o valor dos emolumentos.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artigo 3º-A da Lei 8.067/1990.</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 ISS incidirá à razão de 5% sobre o valor dos emolumentos.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Fundamento: </w:t>
            </w:r>
            <w:r>
              <w:rPr>
                <w:rFonts w:eastAsia="Times New Roman" w:cs="Times New Roman" w:ascii="Times New Roman" w:hAnsi="Times New Roman"/>
                <w:sz w:val="20"/>
                <w:szCs w:val="20"/>
              </w:rPr>
              <w:t>artigo 36 da Lei Municipal 3003/2011.</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haja divergência na cotação, devemos alterar os emolumentos no sistema, na aba “custas” e no campo “serviços cadastrados”, e no protocolo impresso, manuscritamente.</w:t>
            </w:r>
          </w:p>
        </w:tc>
        <w:tc>
          <w:tcPr>
            <w:tcW w:w="645"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0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503"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15</w:t>
            </w:r>
          </w:p>
        </w:tc>
        <w:tc>
          <w:tcPr>
            <w:tcW w:w="8601"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O título foi qualificado positivamente?</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Antes da inscrição, devemos cadastrar o ato para a emissão da Declaração sobre Operações Imobiliárias (DOI).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2º da Instrução Normativa RFB 1.112/2010.</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o imóvel seja de marinha, devemos cadastrar o ato, também, para a emissão da Declaração sobre Operações Imobiliárias de Terrenos da União (DOITU).</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3º-A do Decreto-Lei 2.398/1987 e artigo 2º da Portaria SPU/ME 24.218/2020.</w:t>
            </w:r>
          </w:p>
        </w:tc>
        <w:tc>
          <w:tcPr>
            <w:tcW w:w="645"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0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503"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16</w:t>
            </w:r>
          </w:p>
        </w:tc>
        <w:tc>
          <w:tcPr>
            <w:tcW w:w="8601"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O título foi qualificado negativamente?</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conferência dos documentos deve ser exaustiva e a nota de exigência formulada com a exposição clara e objetiva dos fundamentos da recusa.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As exigências relacionadas ao título judicial, protocolado pelo interessado, cujo atendimento dependa de: (a) manifestação do juízo, serão a este submetidas, por meio de ofício, devendo, ainda, ser formulada uma nota de exigência comunicando o interessado sobre a consulta ao juízo; e (b) providência do interessado, serão a ele submetidas, por meio de nota de exigência.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 protocolo deve ser “qualificado negativamente” no sistema e encaminhado para a digitalização.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Após o cumprimento das exigências, com base em novas informações e/ou novos documentos, poderá ser formulada nova nota de exigência.</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198 da Lei 6.015/1973 e artigo 189 do CNCGFE/SC.</w:t>
            </w:r>
          </w:p>
        </w:tc>
        <w:tc>
          <w:tcPr>
            <w:tcW w:w="645"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0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bl>
    <w:p>
      <w:pPr>
        <w:pStyle w:val="Normal1"/>
        <w:pageBreakBefore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p>
      <w:pPr>
        <w:pStyle w:val="Normal1"/>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b/>
          <w:sz w:val="20"/>
          <w:szCs w:val="20"/>
        </w:rPr>
        <w:t>Declaro que preenchi o presente roteiro de conferência após analisar o(s) documento(s) apresentado(s) e a(s) matrícula(s) prenotada(s), responsabilizando-me pelas informações inseridas.</w:t>
      </w:r>
    </w:p>
    <w:p>
      <w:pPr>
        <w:pStyle w:val="Normal1"/>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1"/>
        <w:spacing w:lineRule="auto" w:line="240" w:before="0" w:after="0"/>
        <w:jc w:val="both"/>
        <w:rPr>
          <w:rFonts w:ascii="Times New Roman" w:hAnsi="Times New Roman" w:eastAsia="Times New Roman" w:cs="Times New Roman"/>
          <w:b/>
          <w:b/>
          <w:sz w:val="20"/>
          <w:szCs w:val="20"/>
        </w:rPr>
      </w:pPr>
      <w:r>
        <w:rPr>
          <w:rFonts w:eastAsia="Times New Roman" w:cs="Times New Roman" w:ascii="Times New Roman" w:hAnsi="Times New Roman"/>
          <w:b/>
          <w:sz w:val="20"/>
          <w:szCs w:val="20"/>
        </w:rPr>
        <w:t>Conferência inicial</w:t>
      </w:r>
      <w:r>
        <w:rPr>
          <w:rFonts w:eastAsia="Times New Roman" w:cs="Times New Roman" w:ascii="Times New Roman" w:hAnsi="Times New Roman"/>
          <w:sz w:val="20"/>
          <w:szCs w:val="20"/>
        </w:rPr>
        <w:t>: Data: ____/____/_____. Nome: _____________________. Assinatura: ____________________</w:t>
      </w:r>
    </w:p>
    <w:p>
      <w:pPr>
        <w:pStyle w:val="Normal1"/>
        <w:pageBreakBefore w:val="false"/>
        <w:spacing w:lineRule="auto" w:line="240" w:before="0" w:after="0"/>
        <w:jc w:val="both"/>
        <w:rPr>
          <w:rFonts w:ascii="Times New Roman" w:hAnsi="Times New Roman" w:eastAsia="Times New Roman" w:cs="Times New Roman"/>
          <w:position w:val="0"/>
          <w:sz w:val="20"/>
          <w:sz w:val="20"/>
          <w:szCs w:val="20"/>
          <w:vertAlign w:val="baseline"/>
        </w:rPr>
      </w:pPr>
      <w:r>
        <w:rPr/>
      </w:r>
    </w:p>
    <w:sectPr>
      <w:type w:val="nextPage"/>
      <w:pgSz w:w="11906" w:h="16838"/>
      <w:pgMar w:left="851" w:right="567" w:gutter="0" w:header="0" w:top="568" w:footer="0" w:bottom="709"/>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Georgia">
    <w:charset w:val="00"/>
    <w:family w:val="roman"/>
    <w:pitch w:val="variable"/>
  </w:font>
</w:fonts>
</file>

<file path=word/settings.xml><?xml version="1.0" encoding="utf-8"?>
<w:settings xmlns:w="http://schemas.openxmlformats.org/wordprocessingml/2006/main">
  <w:zoom w:percent="100"/>
  <w:displayBackgroundShape/>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zh-CN" w:bidi="hi-IN"/>
      </w:rPr>
    </w:rPrDefault>
    <w:pPrDefault>
      <w:pPr>
        <w:suppressAutoHyphens w:val="true"/>
      </w:pPr>
    </w:pPrDefault>
  </w:docDefaults>
  <w:style w:type="paragraph" w:styleId="Normal">
    <w:name w:val="Normal"/>
    <w:qFormat/>
    <w:pPr>
      <w:widowControl w:val="false"/>
      <w:bidi w:val="0"/>
      <w:spacing w:lineRule="auto" w:line="240" w:before="0" w:after="200"/>
      <w:jc w:val="center"/>
    </w:pPr>
    <w:rPr>
      <w:rFonts w:ascii="Calibri" w:hAnsi="Calibri" w:eastAsia="Calibri" w:cs="Calibri"/>
      <w:color w:val="auto"/>
      <w:kern w:val="0"/>
      <w:sz w:val="22"/>
      <w:szCs w:val="22"/>
      <w:lang w:val="pt-BR" w:eastAsia="zh-CN" w:bidi="hi-IN"/>
    </w:rPr>
  </w:style>
  <w:style w:type="paragraph" w:styleId="Ttulo1">
    <w:name w:val="Heading 1"/>
    <w:basedOn w:val="Normal1"/>
    <w:next w:val="Normal1"/>
    <w:qFormat/>
    <w:pPr>
      <w:keepNext w:val="true"/>
      <w:keepLines/>
      <w:pageBreakBefore w:val="false"/>
      <w:spacing w:lineRule="auto" w:line="240" w:before="480" w:after="120"/>
    </w:pPr>
    <w:rPr>
      <w:b/>
      <w:sz w:val="48"/>
      <w:szCs w:val="48"/>
    </w:rPr>
  </w:style>
  <w:style w:type="paragraph" w:styleId="Ttulo2">
    <w:name w:val="Heading 2"/>
    <w:basedOn w:val="Normal1"/>
    <w:next w:val="Normal1"/>
    <w:qFormat/>
    <w:pPr>
      <w:keepNext w:val="true"/>
      <w:keepLines/>
      <w:pageBreakBefore w:val="false"/>
      <w:spacing w:lineRule="auto" w:line="240" w:before="360" w:after="80"/>
    </w:pPr>
    <w:rPr>
      <w:b/>
      <w:sz w:val="36"/>
      <w:szCs w:val="36"/>
    </w:rPr>
  </w:style>
  <w:style w:type="paragraph" w:styleId="Ttulo3">
    <w:name w:val="Heading 3"/>
    <w:basedOn w:val="Normal1"/>
    <w:next w:val="Normal1"/>
    <w:qFormat/>
    <w:pPr>
      <w:keepNext w:val="true"/>
      <w:keepLines/>
      <w:pageBreakBefore w:val="false"/>
      <w:spacing w:lineRule="auto" w:line="240" w:before="280" w:after="80"/>
    </w:pPr>
    <w:rPr>
      <w:b/>
      <w:sz w:val="28"/>
      <w:szCs w:val="28"/>
    </w:rPr>
  </w:style>
  <w:style w:type="paragraph" w:styleId="Ttulo4">
    <w:name w:val="Heading 4"/>
    <w:basedOn w:val="Normal1"/>
    <w:next w:val="Normal1"/>
    <w:qFormat/>
    <w:pPr>
      <w:keepNext w:val="true"/>
      <w:keepLines/>
      <w:pageBreakBefore w:val="false"/>
      <w:spacing w:lineRule="auto" w:line="240" w:before="240" w:after="40"/>
    </w:pPr>
    <w:rPr>
      <w:b/>
      <w:sz w:val="24"/>
      <w:szCs w:val="24"/>
    </w:rPr>
  </w:style>
  <w:style w:type="paragraph" w:styleId="Ttulo5">
    <w:name w:val="Heading 5"/>
    <w:basedOn w:val="Normal1"/>
    <w:next w:val="Normal1"/>
    <w:qFormat/>
    <w:pPr>
      <w:keepNext w:val="true"/>
      <w:keepLines/>
      <w:pageBreakBefore w:val="false"/>
      <w:spacing w:lineRule="auto" w:line="240" w:before="220" w:after="40"/>
    </w:pPr>
    <w:rPr>
      <w:b/>
      <w:sz w:val="22"/>
      <w:szCs w:val="22"/>
    </w:rPr>
  </w:style>
  <w:style w:type="paragraph" w:styleId="Ttulo6">
    <w:name w:val="Heading 6"/>
    <w:basedOn w:val="Normal1"/>
    <w:next w:val="Normal1"/>
    <w:qFormat/>
    <w:pPr>
      <w:keepNext w:val="true"/>
      <w:keepLines/>
      <w:pageBreakBefore w:val="false"/>
      <w:spacing w:lineRule="auto" w:line="240" w:before="200" w:after="40"/>
    </w:pPr>
    <w:rPr>
      <w:b/>
      <w:sz w:val="20"/>
      <w:szCs w:val="20"/>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lang w:val="zxx" w:eastAsia="zxx" w:bidi="zxx"/>
    </w:rPr>
  </w:style>
  <w:style w:type="paragraph" w:styleId="Normal1" w:default="1">
    <w:name w:val="LO-normal"/>
    <w:qFormat/>
    <w:pPr>
      <w:widowControl w:val="false"/>
      <w:bidi w:val="0"/>
      <w:spacing w:lineRule="auto" w:line="240" w:before="0" w:after="200"/>
      <w:jc w:val="center"/>
    </w:pPr>
    <w:rPr>
      <w:rFonts w:ascii="Calibri" w:hAnsi="Calibri" w:eastAsia="Calibri" w:cs="Calibri"/>
      <w:color w:val="auto"/>
      <w:kern w:val="0"/>
      <w:sz w:val="22"/>
      <w:szCs w:val="22"/>
      <w:lang w:val="pt-BR" w:eastAsia="zh-CN" w:bidi="hi-IN"/>
    </w:rPr>
  </w:style>
  <w:style w:type="paragraph" w:styleId="Ttulododocumento">
    <w:name w:val="Title"/>
    <w:basedOn w:val="Normal1"/>
    <w:next w:val="Normal1"/>
    <w:qFormat/>
    <w:pPr>
      <w:keepNext w:val="true"/>
      <w:keepLines/>
      <w:pageBreakBefore w:val="false"/>
      <w:spacing w:lineRule="auto" w:line="240" w:before="480" w:after="120"/>
    </w:pPr>
    <w:rPr>
      <w:b/>
      <w:sz w:val="72"/>
      <w:szCs w:val="72"/>
    </w:rPr>
  </w:style>
  <w:style w:type="paragraph" w:styleId="Subttulo">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1</TotalTime>
  <Application>LibreOffice/7.4.2.3$Windows_X86_64 LibreOffice_project/382eef1f22670f7f4118c8c2dd222ec7ad009daf</Application>
  <AppVersion>15.0000</AppVersion>
  <Pages>5</Pages>
  <Words>3223</Words>
  <Characters>17564</Characters>
  <CharactersWithSpaces>20661</CharactersWithSpaces>
  <Paragraphs>145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pt-BR</dc:language>
  <cp:lastModifiedBy/>
  <dcterms:modified xsi:type="dcterms:W3CDTF">2024-04-29T09:20:06Z</dcterms:modified>
  <cp:revision>1</cp:revision>
  <dc:subject/>
  <dc:title/>
</cp:coreProperties>
</file>