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8"/>
          <w:sz w:val="8"/>
          <w:szCs w:val="8"/>
          <w:u w:val="single"/>
          <w:vertAlign w:val="baseline"/>
        </w:rPr>
      </w:pPr>
      <w:r>
        <w:rPr>
          <w:rFonts w:eastAsia="Times New Roman" w:cs="Times New Roman" w:ascii="Times New Roman" w:hAnsi="Times New Roman"/>
          <w:position w:val="0"/>
          <w:sz w:val="8"/>
          <w:sz w:val="8"/>
          <w:szCs w:val="8"/>
          <w:u w:val="single"/>
          <w:vertAlign w:val="baseline"/>
        </w:rPr>
      </w:r>
    </w:p>
    <w:p>
      <w:pPr>
        <w:pStyle w:val="Normal1"/>
        <w:pageBreakBefore w:val="false"/>
        <w:spacing w:lineRule="auto" w:line="240" w:before="0" w:after="0"/>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 xml:space="preserve">ALTERAÇÃO DE DIVISAS - </w:t>
      </w:r>
      <w:r>
        <w:rPr>
          <w:rFonts w:eastAsia="Times New Roman" w:cs="Times New Roman" w:ascii="Times New Roman" w:hAnsi="Times New Roman"/>
          <w:b/>
          <w:sz w:val="24"/>
          <w:szCs w:val="24"/>
          <w:u w:val="single"/>
        </w:rPr>
        <w:t>ESCRITURA PÚBLICA</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8"/>
          <w:sz w:val="8"/>
          <w:szCs w:val="8"/>
          <w:vertAlign w:val="baseline"/>
        </w:rPr>
      </w:pPr>
      <w:r>
        <w:rPr>
          <w:rFonts w:eastAsia="Times New Roman" w:cs="Times New Roman" w:ascii="Times New Roman" w:hAnsi="Times New Roman"/>
          <w:position w:val="0"/>
          <w:sz w:val="8"/>
          <w:sz w:val="8"/>
          <w:szCs w:val="8"/>
          <w:vertAlign w:val="baseline"/>
        </w:rPr>
      </w:r>
    </w:p>
    <w:tbl>
      <w:tblPr>
        <w:tblStyle w:val="Table1"/>
        <w:tblW w:w="10245" w:type="dxa"/>
        <w:jc w:val="left"/>
        <w:tblInd w:w="-108" w:type="dxa"/>
        <w:tblLayout w:type="fixed"/>
        <w:tblCellMar>
          <w:top w:w="0" w:type="dxa"/>
          <w:left w:w="108" w:type="dxa"/>
          <w:bottom w:w="0" w:type="dxa"/>
          <w:right w:w="108" w:type="dxa"/>
        </w:tblCellMar>
        <w:tblLook w:val="0000"/>
      </w:tblPr>
      <w:tblGrid>
        <w:gridCol w:w="465"/>
        <w:gridCol w:w="8552"/>
        <w:gridCol w:w="627"/>
        <w:gridCol w:w="600"/>
      </w:tblGrid>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bookmarkStart w:id="0" w:name="gjdgxs"/>
          </w:p>
        </w:tc>
      </w:tr>
      <w:tr>
        <w:trPr>
          <w:trHeight w:val="1935"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Lei de Registros Públicos - LRP.</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Considera-se alteração de divisas a redefinição de limites e confrontações entre imóveis limítrofes, por meio de acordo de vontades entre proprietários, com ou sem alteração da metragem quadrada total dos imóveis, atendendo as dimensões e áreas mínimas de lotes, previstas na legislação urbanística.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213, parágrafo 7º da LRP e artigo 1º do Decreto Municipal 23.378/2021.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highlight w:val="white"/>
              </w:rPr>
              <w:t>A escritura pública é essencial à validade dos negócios jurídicos que visem à constituição, transferência, modificação ou renúncia de direitos reais sobre imóveis de valor superior a trinta vezes o maior salário mínimo vigente no País.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108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Para fins de aplicação do artigo 108 do CC, deve-se tomar por base o maior valor, dentre os parâmetros legais, referente à totalidade do imóvel, ainda que a alienação ou oneração seja parcial.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790 do Código de Normas da Corregedoria-Geral da Justiça do Estado de Santa Catarina - CNCGFE/SC.</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3</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355, parágrafo 1º, 762, 809 e 815 do CNCGFE/SC.</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4</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transmitentes?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transmitentes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forem pessoas físicas casadas, é necessária a autorização do outro cônjuge para alienar bens imóveis, salvo se for adotado o regime da separação de bens ou se, adotado o regime da participação final nos aquestos, houver estipulação expressa no pacto antenupcial sobre a livre disposição dos bens.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adquirente for casado ou conviver em regime de união estável e tiver pactuado regime de bens diverso do legal, deve constar no título os dados do regime de bens e do registro, no Livro 3/RA, da convenção antenupcial ou de união estável. Nessa hipótese,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CN/CG-Extra.</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transmitentes sejam pessoas físicas não casadas (solteiro, separado, divorciado ou viúvo), consta na escritura a declaração de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conviva em união estável deve constar a qualificação completa do companheiro e o regime de bens que vigora na união estável.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declaração, quando negativa, deve constar expressamente na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pactuado regime de bens na união estável, vigora entre os companheiros o regime da comunhão parcial de bens, motivo pelo qual o companheiro deve figurar na escritura como interveniente anuente.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pactuado o regime da comunhão universal de bens na união estável, o companheiro deve figurar na escritura como transmitente.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pactuado o regime da separação de bens na união estável, o companheiro não precisa assinar a escritura como interveniente anuente. </w:t>
            </w:r>
          </w:p>
          <w:p>
            <w:pPr>
              <w:pStyle w:val="Normal1"/>
              <w:widowControl w:val="false"/>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Provimento 6/2003 da Corregedoria Geral de Justiça de Santa Catarina - CGJ/SC e artigo 1.647, inciso II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transmitentes declararem conviver em união estável e essa informação não constar na matrícula do imóvel (aquisição anterior), é necessário averbar a união estável antes do registro da escritura.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na matrícula do imóvel (aquisição anterior) constar a existência de união estável e na escritura os transmitentes declararem não conviver, é necessário averbar a dissolução da união estável.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685, inciso VIII e 687 do CNCGJ/SC, artigos 1º e 5º da Lei 9.278/1996, artigos 1.723 e 1.725 do CC, artigo 226, parágrafo 3º da Constituição Federal e artigos 167, inciso II, itens 1, 5 e 10, 169, 195 e 237 da LRP.</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transmitentes (retificação de dados de qualificação, casamento, separação,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na própria escritura,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688, parágrafo 6º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CN/CG-Extra.</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de uma pessoa jurídica são: denominação social, CNPJ e sede.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os adquirentes forem casados por um regime diverso do legal, deve constar na escritura o registro do pacto antenupcial.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476 do CNCGJ/SC.</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escritura devem constar as descrições dos imóveis originários, da área a ser transferida e dos imóveis resultantes.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10</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na escritura o valor da área transferida?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 e artigo 802, inciso IX do CNCGJ/SC.</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CN/CG-Extra.</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14</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débitos municipais relativas aos imóveis ou a declaração de dispensa pelos adquirentes?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não conste, o título poderá ser retificado para consigná-la ou poderá ser apresentada em documento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parágrafo 2º, da Lei 7.433/1985, artigo 1º, inciso III, alínea “a”, do Decreto 93.240/1986.</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5</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na escritura o recolhimento do Imposto sobre a Transmissão Onerosa de Bens Imóveis por Ato </w:t>
            </w:r>
            <w:r>
              <w:rPr>
                <w:rFonts w:eastAsia="Times New Roman" w:cs="Times New Roman" w:ascii="Times New Roman" w:hAnsi="Times New Roman"/>
                <w:b/>
                <w:i/>
                <w:sz w:val="20"/>
                <w:szCs w:val="20"/>
                <w:u w:val="single"/>
              </w:rPr>
              <w:t xml:space="preserve">Inter Vivos </w:t>
            </w:r>
            <w:r>
              <w:rPr>
                <w:rFonts w:eastAsia="Times New Roman" w:cs="Times New Roman" w:ascii="Times New Roman" w:hAnsi="Times New Roman"/>
                <w:b/>
                <w:sz w:val="20"/>
                <w:szCs w:val="20"/>
                <w:u w:val="single"/>
              </w:rPr>
              <w:t>(ITBI)?</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505, 802, inciso I, e 803 do CNCGJ/SC, artigos 283, inciso III, e 287 do Código Tributário do Município de Florianópolis/SC, artigo 134, inciso VI do Código Tributário Nacional, artigo 289 da LRP e artigo 30, inciso XI da Lei 8.935/1994.</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314" w:hRule="atLeast"/>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55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Foi apresentada a planta do levantamento topográfico?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i w:val="false"/>
                <w:caps w:val="false"/>
                <w:smallCaps w:val="false"/>
                <w:strike w:val="false"/>
                <w:dstrike w:val="false"/>
                <w:color w:val="000000"/>
                <w:position w:val="0"/>
                <w:sz w:val="20"/>
                <w:sz w:val="20"/>
                <w:szCs w:val="20"/>
                <w:u w:val="none"/>
                <w:shd w:fill="auto" w:val="clear"/>
                <w:vertAlign w:val="baseline"/>
              </w:rPr>
              <w:t>- Na planta dev</w:t>
            </w:r>
            <w:r>
              <w:rPr>
                <w:rFonts w:eastAsia="Times New Roman" w:cs="Times New Roman" w:ascii="Times New Roman" w:hAnsi="Times New Roman"/>
                <w:sz w:val="20"/>
                <w:szCs w:val="20"/>
              </w:rPr>
              <w:t xml:space="preserve">e conter os desenhos dos imóveis originários, da área a ser transferida e dos imóveis resultantes.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deve conter as assinaturas dos proprietários e do responsável técnico pelo levantamento, assim como a aprovação expressa do município.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planta pode ser apresentada na via original ou em cópia autenticada.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 item 3, alíneas “a” e “b”, artigo 213, parágrafo 9º, artigo 221, inciso II e artigo 225 da LRP e artigo 5º, parágrafo 2º do Decreto Municipal 23.378/2021.</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55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Foi apresentado o memorial descritivo?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 memorial descritivo devem constar as descrições dos imóveis originários, da área a ser transferida e dos imóveis resultantes.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alguma medida perimetral for curva, deve constar a medida perimetral do desenvolvimento e o raio da curvatura. </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memorial deve ser assinado pelo técnico responsável pelo levantamento topográfico, assim como deve conter a aprovação expressa do município.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memorial pode ser apresentado na via original ou em cópia autenticada.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 item 3, alíneas “a” e “b”, artigo 213, parágrafo 9º, artigo 221, inciso II e artigo 225 da LRP e artigo 5º, parágrafo 2º do Decreto Municipal 23.378/2021.</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76"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anotação de responsabilidade técnica (ART, RRT ou TRT) referente ao levantamento topográfico?</w:t>
            </w:r>
          </w:p>
          <w:p>
            <w:pPr>
              <w:pStyle w:val="Normal1"/>
              <w:widowControl w:val="false"/>
              <w:spacing w:lineRule="auto" w:line="276"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w:t>
            </w:r>
            <w:r>
              <w:rPr>
                <w:rFonts w:eastAsia="Times New Roman" w:cs="Times New Roman" w:ascii="Times New Roman" w:hAnsi="Times New Roman"/>
                <w:b/>
                <w:sz w:val="20"/>
                <w:szCs w:val="20"/>
              </w:rPr>
              <w:t xml:space="preserve"> </w:t>
            </w:r>
            <w:r>
              <w:rPr>
                <w:rFonts w:eastAsia="Times New Roman" w:cs="Times New Roman" w:ascii="Times New Roman" w:hAnsi="Times New Roman"/>
                <w:sz w:val="20"/>
                <w:szCs w:val="20"/>
              </w:rPr>
              <w:t xml:space="preserve">Devemos conferir se os dados mencionados na anotação de responsabilidade são relativos ao trabalho técnico realizado, assim como, conferir a autenticidade da anotação de responsabilidade no </w:t>
            </w:r>
            <w:r>
              <w:rPr>
                <w:rFonts w:eastAsia="Times New Roman" w:cs="Times New Roman" w:ascii="Times New Roman" w:hAnsi="Times New Roman"/>
                <w:i/>
                <w:sz w:val="20"/>
                <w:szCs w:val="20"/>
              </w:rPr>
              <w:t>site</w:t>
            </w:r>
            <w:r>
              <w:rPr>
                <w:rFonts w:eastAsia="Times New Roman" w:cs="Times New Roman" w:ascii="Times New Roman" w:hAnsi="Times New Roman"/>
                <w:sz w:val="20"/>
                <w:szCs w:val="20"/>
              </w:rPr>
              <w:t xml:space="preserve"> do respectivo conselho profissional.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w:t>
            </w:r>
            <w:r>
              <w:rPr/>
              <w:t xml:space="preserve">785 </w:t>
            </w:r>
            <w:r>
              <w:rPr>
                <w:rFonts w:eastAsia="Times New Roman" w:cs="Times New Roman" w:ascii="Times New Roman" w:hAnsi="Times New Roman"/>
                <w:sz w:val="20"/>
                <w:szCs w:val="20"/>
              </w:rPr>
              <w:t>do CN/CG-Extra.</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55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 xml:space="preserve">Foi apresentada a certidão de </w:t>
            </w:r>
            <w:r>
              <w:rPr>
                <w:rFonts w:eastAsia="Times New Roman" w:cs="Times New Roman" w:ascii="Times New Roman" w:hAnsi="Times New Roman"/>
                <w:b/>
                <w:sz w:val="20"/>
                <w:szCs w:val="20"/>
                <w:u w:val="single"/>
              </w:rPr>
              <w:t>aprovação</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 xml:space="preserve"> da alteração de divisas expedida pel</w:t>
            </w:r>
            <w:r>
              <w:rPr>
                <w:rFonts w:eastAsia="Times New Roman" w:cs="Times New Roman" w:ascii="Times New Roman" w:hAnsi="Times New Roman"/>
                <w:b/>
                <w:sz w:val="20"/>
                <w:szCs w:val="20"/>
                <w:u w:val="single"/>
              </w:rPr>
              <w:t>o município</w:t>
            </w:r>
            <w:r>
              <w:rPr>
                <w:rFonts w:eastAsia="Times New Roman" w:cs="Times New Roman" w:ascii="Times New Roman" w:hAnsi="Times New Roman"/>
                <w:b/>
                <w:i w:val="false"/>
                <w:caps w:val="false"/>
                <w:smallCaps w:val="false"/>
                <w:strike w:val="false"/>
                <w:dstrike w:val="false"/>
                <w:color w:val="000000"/>
                <w:position w:val="0"/>
                <w:sz w:val="20"/>
                <w:sz w:val="20"/>
                <w:szCs w:val="20"/>
                <w:u w:val="single"/>
                <w:shd w:fill="auto" w:val="clear"/>
                <w:vertAlign w:val="baseline"/>
              </w:rPr>
              <w:t>?</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deve comprovar que a alteração de divisas está em conformidade com a legislação urbanística, devendo constar na certidão: (a) o número do processo; (b) o nome do proprietário; (c) os números das matrículas dos imóveis; (d) os números das inscrições imobiliárias junto ao cadastro municipal; (e) o nome do responsável técnico pelo levantamento topográfico; (f) o número da anotação de responsabilidade técnica; e (g) as descrições das áreas originárias, da área a ser transferida e das áreas resultantes.</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será deferida a alteração de divisas que resulte em: (a) fracionamento do solo com a criação de nova unidade imobiliária; (b) unidade imobiliária com área e dimensões contrárias ao Plano Diretor, como área mínima e testada; (c) unidade imobiliária sem acesso à via de circulação pública existente e oficial; e (d) alteração com descrição que extrapole os limites das poligonais externas das áreas objeto da alteração requerida, consideradas em conjunto.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pode ser apresentada na via original ou em cópia autenticada.</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213, parágrafo 9º da LRP e artigos 4º e 5º, parágrafo 1º do Decreto Municipal 23.378/2021</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21</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w:t>
            </w:r>
            <w:r>
              <w:rPr>
                <w:rFonts w:eastAsia="Times New Roman" w:cs="Times New Roman" w:ascii="Times New Roman" w:hAnsi="Times New Roman"/>
                <w:sz w:val="20"/>
                <w:szCs w:val="20"/>
              </w:rPr>
              <w:t>: Devemos realizar duas averbações na matrícula em que parte será transferida, sendo uma, antes do registro da transferência, para identificar a parcela a ser transferida, e outra, após o registro da transferência, para descrever a área resultante. Na matrícula em que a área foi acrescida, devemos averbar a alteração de divisas e descrever a área resultante.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Devemos realizar um registro de transferência na matrícula do imóvel em que parte foi transferida.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A base de cálculo deve ser o maior valor entre o valor declarado para o negócio e o valor venal atribuído para fins de cobrança do imposto de transmissão.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da Lei Complementar 755/2019 c/c artigo 320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Abertura de Matrícula</w:t>
            </w:r>
            <w:r>
              <w:rPr>
                <w:rFonts w:eastAsia="Times New Roman" w:cs="Times New Roman" w:ascii="Times New Roman" w:hAnsi="Times New Roman"/>
                <w:sz w:val="20"/>
                <w:szCs w:val="20"/>
              </w:rPr>
              <w:t>: Devemos abrir matrículas para todos os imóveis resultantes da alteração de divisas e transportar, por averbação, os eventuais ônus e ações.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1.1 da Tabela III da Lei Complementar 755/2019, atualizada e publicizada por meio da Circular 355/2023 da CGFE/SC e artigo 666 do CNCGJ/SC.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22</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6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23</w:t>
            </w:r>
          </w:p>
        </w:tc>
        <w:tc>
          <w:tcPr>
            <w:tcW w:w="855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2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10" w:footer="0" w:bottom="56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5</Pages>
  <Words>3735</Words>
  <Characters>20289</Characters>
  <CharactersWithSpaces>23874</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2024-04-29T09:12:20Z</dcterms:modified>
  <cp:revision>1</cp:revision>
  <dc:subject/>
  <dc:title/>
</cp:coreProperties>
</file>