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ATRIBUIÇÃO DE PROPRIEDADE</w:t>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1"/>
        <w:pageBreakBefore w:val="false"/>
        <w:spacing w:lineRule="auto" w:line="240" w:before="0" w:after="0"/>
        <w:rPr>
          <w:rFonts w:ascii="Times New Roman" w:hAnsi="Times New Roman" w:eastAsia="Times New Roman" w:cs="Times New Roman"/>
          <w:b/>
          <w:b/>
          <w:position w:val="0"/>
          <w:sz w:val="24"/>
          <w:sz w:val="24"/>
          <w:szCs w:val="24"/>
          <w:u w:val="single"/>
          <w:vertAlign w:val="baseline"/>
        </w:rPr>
      </w:pPr>
      <w:r>
        <w:rPr>
          <w:rFonts w:eastAsia="Times New Roman" w:cs="Times New Roman" w:ascii="Times New Roman" w:hAnsi="Times New Roman"/>
          <w:b/>
          <w:sz w:val="24"/>
          <w:szCs w:val="24"/>
          <w:u w:val="single"/>
        </w:rPr>
        <w:t>ESCRITURA PÚBLICA</w:t>
      </w:r>
    </w:p>
    <w:p>
      <w:pPr>
        <w:pStyle w:val="Normal1"/>
        <w:pageBreakBefore w:val="false"/>
        <w:spacing w:lineRule="auto" w:line="240" w:before="0" w:after="0"/>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r>
    </w:p>
    <w:tbl>
      <w:tblPr>
        <w:tblStyle w:val="Table1"/>
        <w:tblW w:w="10320" w:type="dxa"/>
        <w:jc w:val="left"/>
        <w:tblInd w:w="-108" w:type="dxa"/>
        <w:tblLayout w:type="fixed"/>
        <w:tblCellMar>
          <w:top w:w="0" w:type="dxa"/>
          <w:left w:w="108" w:type="dxa"/>
          <w:bottom w:w="0" w:type="dxa"/>
          <w:right w:w="108" w:type="dxa"/>
        </w:tblCellMar>
        <w:tblLook w:val="0000"/>
      </w:tblPr>
      <w:tblGrid>
        <w:gridCol w:w="465"/>
        <w:gridCol w:w="8578"/>
        <w:gridCol w:w="616"/>
        <w:gridCol w:w="660"/>
      </w:tblGrid>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atribuição de propriedade de unidades imobiliárias em pagamento das partes ideais de cada coproprietário, exige escritura pública.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776 do Código de Normas da Corregedoria-Geral da Justiça do Estado de Santa Catarina - CNCGFE/SC.</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3</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conferida a autenticidade do título apresentado?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título seja digital, serão admitidas assinaturas eletrônicas qualificadas, com uso de certificado emitido com os requisitos da Infraestrutura de Chaves Públicas Brasileira - ICP-Brasil, ou avançadas, por meio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308, 355, parágrafo 1º, 762, 809 e 815 do CNCGFE/SC.</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outorgantes e dos outorgados?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CPF, estado civil e endereço e para as pessoas jurídicas: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dispensável a qualificação completa do cônjuge ou companheiro quando pactuado o regime da separação absoluta de bens, bastando a indicação do nome do cônjuge ou companheiro.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havendo declaração de convivência em união estável, devemos presumir a sua ausência.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706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pacto antenupcial ou o instrumento de constituição de união estável em que tenha sido pactuado regime de bens diverso do legal, deve ser registrado no Livro 3/RA e averbado em todas as matrículas em que os cônjuges ou companheiros sejam detentores de direito real.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ausência de informação sobre o regime de bens adotado para a união estável, devemos presumir o regime legal da comunhão parcial.</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Nas matrículas em que o registro no Livro 3/RA tenha sido mencionado na qualificação das partes, não precisamos realizar uma averbação apartada antes de registrar o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outorgantes forem casados ou conviverem em regime de união estável, é necessária a autorização do cônjuge ou companheiro para a transferência do imóvel, salvo se for adotado o regime da separação de bens ou se, adotado o regime da participação final nos aquestos, houver estipulação expressa no pacto antenupcial ou no instrumento de união estável sobre a livre disposição do imóvel.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1.647, inciso I, 1.656 e 1.687 do Código Civil - CC.</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outorgantes ou dos outorgados (retificação de dados de qualificação, casamento, separação,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no próprio título, quando os dados necessários constarem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pode ser realizada ainda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 e artigo 713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e 713, parágrafos 8º e 9º, do CNCGFE/SC.</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6</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tenham matrículas próprias, pode ser consignado no título somente a localização completa e o número da matrícula, não havendo necessidade da transcrição completa da descrição.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Decisão proferida em 05/02/2018 no Processo SAE 11278-LAUNSO, pelo Juiz - Diretor do Foro da Comarca da Capital/SC.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atribuição referir-se a unidades de condomínio incorporado ou de loteamento ainda não implantado, devemos abrir matrículas para as unidades futuras e realizar os registros nas matrículas das unidades. Nessas hipóteses não haverá incidência do artigo 237-A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717 e 1.094 do CNCGFE/SC.</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362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7</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deve constar na matrícula: (a) os dados do Certificado de Cadastro do Imóvel Rural (CCIR); e a averbação do recibo de inscrição no Cadastro Ambiental Rural - CAR. Caso não conste, os referidos documentos devem ser apresentados para averbação.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na matrícula a informação de que o imóvel é rural, mas atualmente o imóvel não tenha a referida destinação, pode ser apresentado, em protocolo separado, um ofício de cancelamento do cadastro expedido pelo INCRA.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176, inciso II, item 3, alínea "a" da LRP, artigos 12, 18 e 19 da Lei 12.651/2012, artigo 4°, inciso I da Lei 4.504/1964, artigo 15 do Decreto-Lei 57/1966 e artigo 701, parágrafo 3º, inciso I,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trate-se de imóvel cadastrado como área de marinha deve constar constar na matrícula o número do Registro Imobiliário Patrimonial (RIP). Caso não conste, deve ser apresentada a certidão do RIP para averbação na matrícula.</w:t>
            </w:r>
          </w:p>
          <w:p>
            <w:pPr>
              <w:pStyle w:val="Normal1"/>
              <w:widowControl w:val="false"/>
              <w:spacing w:lineRule="auto" w:line="240" w:before="0" w:after="0"/>
              <w:jc w:val="both"/>
              <w:rPr>
                <w:rFonts w:ascii="Times New Roman" w:hAnsi="Times New Roman" w:eastAsia="Times New Roman" w:cs="Times New Roman"/>
                <w:sz w:val="20"/>
                <w:szCs w:val="20"/>
                <w:highlight w:val="yellow"/>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e artigos 3º e 3º-A do Decreto-Lei 2.398/1987.</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798 do CNCGFE/SC. </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9</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highlight w:val="white"/>
                <w:u w:val="single"/>
              </w:rPr>
            </w:pPr>
            <w:r>
              <w:rPr>
                <w:rFonts w:eastAsia="Times New Roman" w:cs="Times New Roman" w:ascii="Times New Roman" w:hAnsi="Times New Roman"/>
                <w:b/>
                <w:sz w:val="20"/>
                <w:szCs w:val="20"/>
                <w:highlight w:val="white"/>
                <w:u w:val="single"/>
              </w:rPr>
              <w:t xml:space="preserve"> </w:t>
            </w:r>
            <w:r>
              <w:rPr>
                <w:rFonts w:eastAsia="Times New Roman" w:cs="Times New Roman" w:ascii="Times New Roman" w:hAnsi="Times New Roman"/>
                <w:b/>
                <w:sz w:val="20"/>
                <w:szCs w:val="20"/>
                <w:highlight w:val="white"/>
                <w:u w:val="single"/>
              </w:rPr>
              <w:t>O negócio jurídico instrumentalizado enquadra-se na hipótese de atribuição de propriedade?</w:t>
            </w:r>
          </w:p>
          <w:p>
            <w:pPr>
              <w:pStyle w:val="Normal1"/>
              <w:widowControl w:val="false"/>
              <w:spacing w:lineRule="auto" w:line="240" w:before="0" w:after="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t>- A atribuição de propriedade será possível quando dois ou mais proprietários de um imóvel, subdividem o imóvel em mais unidades imobiliárias, como nos casos de parcelamento do solo ou condomínio, mas não pretendem manter a copropriedade sobre todos os imóveis.</w:t>
            </w:r>
          </w:p>
          <w:p>
            <w:pPr>
              <w:pStyle w:val="Normal1"/>
              <w:widowControl w:val="false"/>
              <w:spacing w:lineRule="auto" w:line="240" w:before="0" w:after="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t xml:space="preserve">- Nas hipóteses de registro de incorporação imobiliária ou de loteamento, o registro da atribuição de propriedade pode ser realizado até a instituição do condomínio ou a implantação do parcelamento do solo, sob pena de configurar ato de permuta, com o devido recolhimento dos impostos de transmissão. </w:t>
            </w:r>
          </w:p>
          <w:p>
            <w:pPr>
              <w:pStyle w:val="Normal1"/>
              <w:widowControl w:val="false"/>
              <w:spacing w:lineRule="auto" w:line="240" w:before="0" w:after="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t>- Da mesma forma, nos casos de desdobro, desmembramento ou instituição direta de condomínio, a atribuição de propriedade deve ser registrada concomitantemente ao ato de criação das novas unidades imobiliárias.</w:t>
            </w:r>
          </w:p>
          <w:p>
            <w:pPr>
              <w:pStyle w:val="Normal1"/>
              <w:widowControl w:val="false"/>
              <w:spacing w:lineRule="auto" w:line="240" w:before="0" w:after="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t>- Na atribuição de propriedade, as frações ideais de cada coproprietário na matrícula de origem devem corresponder às frações ideais das unidades imobiliárias criadas e atribuídas. Caso não correspondam, os coproprietários devem instrumentalizar a transferência para ajuste das frações ideais, recolhendo o respectivo imposto de transmissão.</w:t>
            </w:r>
          </w:p>
          <w:p>
            <w:pPr>
              <w:pStyle w:val="Normal1"/>
              <w:widowControl w:val="false"/>
              <w:spacing w:lineRule="auto" w:line="240" w:before="0" w:after="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t>- Na hipótese acima, devemos utilizar, também, o roteiro de conferência específico (compra e venda ou doação).</w:t>
            </w:r>
          </w:p>
          <w:p>
            <w:pPr>
              <w:pStyle w:val="Normal1"/>
              <w:widowControl w:val="false"/>
              <w:spacing w:lineRule="auto" w:line="240" w:before="0" w:after="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u w:val="single"/>
              </w:rPr>
              <w:t>Fundamento</w:t>
            </w:r>
            <w:r>
              <w:rPr>
                <w:rFonts w:eastAsia="Times New Roman" w:cs="Times New Roman" w:ascii="Times New Roman" w:hAnsi="Times New Roman"/>
                <w:sz w:val="20"/>
                <w:szCs w:val="20"/>
                <w:highlight w:val="white"/>
              </w:rPr>
              <w:t>: artigos 717, 1.092 e 1.093 do CNCGFE/SC, artigo 289 da LRP e artigos 278 e 283, inciso III, do Código Tributário de Florianópolis (Lei Complementar 7/1997).</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10</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os valores individualizados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título envolver mais de um imóvel, é necessária a especificação do valor de cada um individualmente, mesmo que se trate de unidades autônomas de condomínios edilícios, como apartamentos, vagas de garagem e hobby-box.</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valores não estejam individualizados, é possível a retificação do título ou a apresentação de uma declaração apartada, firmada por um dos outorgados sob sua responsabilidade.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apresentada declaração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das plataformas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inciso III, item 5, e 221, inciso II, da LRP, artigo 6º da Lei Complementar 755/2019 e artigos 762 e 784 do CNCGJ/SC.</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11</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valores declarados pelas partes, para o negócio jurídico e/ou para fins de lançamento fiscal, apresentam dissonância com o valor de mercado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eastAsia="Times New Roman" w:cs="Times New Roman" w:ascii="Times New Roman" w:hAnsi="Times New Roman"/>
                <w:i/>
                <w:sz w:val="20"/>
                <w:szCs w:val="20"/>
              </w:rPr>
              <w:t>sites</w:t>
            </w:r>
            <w:r>
              <w:rPr>
                <w:rFonts w:eastAsia="Times New Roman" w:cs="Times New Roman" w:ascii="Times New Roman" w:hAnsi="Times New Roman"/>
                <w:sz w:val="20"/>
                <w:szCs w:val="20"/>
              </w:rPr>
              <w:t xml:space="preserve"> de compra e venda de imóveis ou de imobiliárias, tabela FIPE, valor de avaliação fiscal, entre outros.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Encontrado valor de mercado acima do valor declarado, devemos solicitar declaração de valor de mercado, indicando qual o parâmetro utilizado para impugnação, bem como a complementação dos custos de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valor de mercado servirá, exclusivamente, como base de cálculo dos emolumentos, FRJ e ISS, não sendo necessária a complementação de outros tributos incidentes sobre o ato.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320 do CNCGFE/SC e artigo 6º, parágrafo 3º,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da plataforma do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221, inciso II, da Lei 6.015/1973 e artigo 762 do CNCGFE/SC. </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12</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13</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real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algum ônus ou ação que não impeça o registro da atribuição de propriedade, como hipoteca, penhora, indisponibilidade, entre outros, devemos apenas transportar o referido gravame para a matrícula à qual a propriedade foi atribuída.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o gravame incidir sobre um co-proprietário específico, deve ser transportado apenas para as matrículas atribuídas a esse co-proprietário. Caso contrário, deve ser transportado para todas as matrículas.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existam ônus ou ação que impeçam o registro da atribuição de propriedade, como alienação fiduciária, promessa de alienação em favor de terceiro, bloqueio judicial, entre outros, o interessado deverá promover o cancelamento do gravame ou apresentar uma autorização do instituidor, quando aplicável.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da LRP; artigo 22 da Lei 9.514/1997 e artigo 1.368-B do CC (alienação fiduciária); e artigos 1.417 e 1.418 do CC (promessa de compra e venda).  </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41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14</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w:t>
            </w:r>
            <w:r>
              <w:rPr>
                <w:rFonts w:eastAsia="Times New Roman" w:cs="Times New Roman" w:ascii="Times New Roman" w:hAnsi="Times New Roman"/>
                <w:sz w:val="20"/>
                <w:szCs w:val="20"/>
              </w:rPr>
              <w:t>: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65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atribuição referir-se a unidades de condomínio incorporado ou de loteamento ainda não implantado, devemos abrir matrículas para as unidades futuras e realizar os registros nas matrículas das unidades. Nessas hipóteses não haverá incidência do artigo 237-A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717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xml:space="preserve">: A base de cálculo deve ser o maior valor entre o valor declarado para o negócio, o valor venal atribuído para fins de cobrança do imposto de transmissão e o valor real ou de mercado.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6º, parágrafo 2º, da Lei Complementar 755/2019 c/c artigo 320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Unidades Acessórias</w:t>
            </w:r>
            <w:r>
              <w:rPr>
                <w:rFonts w:eastAsia="Times New Roman" w:cs="Times New Roman" w:ascii="Times New Roman" w:hAnsi="Times New Roman"/>
                <w:sz w:val="20"/>
                <w:szCs w:val="20"/>
              </w:rPr>
              <w:t>: Nos registros de negócio jurídico, com as mesmas partes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66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R$ 46,55 -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w:t>
            </w:r>
            <w:r>
              <w:rPr>
                <w:rFonts w:eastAsia="Times New Roman" w:cs="Times New Roman" w:ascii="Times New Roman" w:hAnsi="Times New Roman"/>
                <w:sz w:val="20"/>
                <w:szCs w:val="20"/>
              </w:rPr>
              <w:t>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83" w:hRule="atLeast"/>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15</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deverão constar no ato registral outros elementos de qualificação, como dados dos representantes, procuradores, avalistas, fiadores e outros que digam respeito a elementos não essenciais do negócio jurídico, salvo quando envolver incapazes.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Nos casos em que a qualificação subjetiva já consta de ato anterior praticado na mesma matrícula, podemos mencionar que se trata de pessoa já qualificada.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706, parágrafos 4º e 5º,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atribuição referir-se a unidades de condomínio incorporado ou de loteamento ainda não implantado, devemos abrir matrículas para as unidades futuras e realizar os registros nas matrículas das unidades. Nessas hipóteses não haverá incidência do artigo 237-A da LRP.</w:t>
            </w:r>
          </w:p>
          <w:p>
            <w:pPr>
              <w:pStyle w:val="Normal1"/>
              <w:widowControl w:val="false"/>
              <w:spacing w:lineRule="auto" w:line="240" w:before="0" w:after="0"/>
              <w:jc w:val="both"/>
              <w:rPr>
                <w:rFonts w:ascii="Times New Roman" w:hAnsi="Times New Roman" w:eastAsia="Times New Roman" w:cs="Times New Roman"/>
                <w:b/>
                <w:b/>
                <w:sz w:val="20"/>
                <w:szCs w:val="20"/>
                <w:highlight w:val="yellow"/>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717 do CNCGFE/SC.</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85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b/>
          <w:b/>
          <w:sz w:val="20"/>
          <w:szCs w:val="20"/>
          <w:highlight w:val="white"/>
        </w:rPr>
      </w:pPr>
      <w:r>
        <w:rPr>
          <w:rFonts w:eastAsia="Times New Roman" w:cs="Times New Roman" w:ascii="Times New Roman" w:hAnsi="Times New Roman"/>
          <w:b/>
          <w:sz w:val="20"/>
          <w:szCs w:val="20"/>
          <w:highlight w:val="whit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1134" w:right="1134" w:gutter="0" w:header="0" w:top="567"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5</Pages>
  <Words>3154</Words>
  <Characters>17465</Characters>
  <CharactersWithSpaces>20504</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2024-04-29T09:07:52Z</dcterms:modified>
  <cp:revision>1</cp:revision>
  <dc:subject/>
  <dc:title/>
</cp:coreProperties>
</file>