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position w:val="0"/>
          <w:sz w:val="24"/>
          <w:sz w:val="24"/>
          <w:szCs w:val="24"/>
          <w:u w:val="single"/>
          <w:vertAlign w:val="baseline"/>
        </w:rPr>
        <w:t>BEM DE FAMÍLIA</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bl>
      <w:tblPr>
        <w:tblStyle w:val="Table1"/>
        <w:tblW w:w="10245" w:type="dxa"/>
        <w:jc w:val="left"/>
        <w:tblInd w:w="-108" w:type="dxa"/>
        <w:tblLayout w:type="fixed"/>
        <w:tblCellMar>
          <w:top w:w="0" w:type="dxa"/>
          <w:left w:w="108" w:type="dxa"/>
          <w:bottom w:w="0" w:type="dxa"/>
          <w:right w:w="108" w:type="dxa"/>
        </w:tblCellMar>
        <w:tblLook w:val="0000"/>
      </w:tblPr>
      <w:tblGrid>
        <w:gridCol w:w="465"/>
        <w:gridCol w:w="8453"/>
        <w:gridCol w:w="651"/>
        <w:gridCol w:w="675"/>
      </w:tblGrid>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highlight w:val="white"/>
              </w:rPr>
              <w:t>Podem os cônjuges, ou a entidade familiar, mediante escritura pública ou testamento, destinar parte de seu patrimônio para instituir bem de família, desde que não ultrapasse um terço do patrimônio líquido existente ao tempo da instituição, mantidas as regras sobre a impenhorabilidade do imóvel residencial estabelecida em lei especial.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1.711 do Código Civil - CC.</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308, 355, parágrafo 1º, 762, 809 e 815 do CNCGFE/SC.   </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instituidores?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Podem figurar como instituidores os proprietários do imóvel ou um terceiro interessado, por meio de testamento ou doação, que para eficácia do ato dependerá de aceitação expressa de ambos os cônjuges beneficiados ou do representante da entidade familiar beneficiada.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1.711 do Código Civil - CC.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instituidores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instituidores forem pessoas físicas casadas, é necessária a autorização do outro cônjuge para constituir ônus real sobre bens imóveis, salvo se for adotado o regime da separação de bens ou se, adotado o regime da participação final nos aquestos, houver estipulação expressa no pacto antenupcial sobre a livre disposição dos bens.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CC.</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instituidores sejam pessoas físicas não casadas (solteiro, separado, divorciado ou viúvo), consta na escritura a declaração de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união estável deve constar a qualificação completa do companheiro e o regime de bens que vigora na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quando negativa, deve constar expressamente na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pactuado regime de bens na união estável, vigora entre os companheiros o regime da comunhão parcial de bens, motivo pelo qual o companheiro deve figurar na escritura como interveniente anuente.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pactuado o regime da comunhão universal de bens na união estável, o companheiro deve figurar na escritura como instituidor.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pactuado o regime da separação de bens na união estável, o companheiro não precisa assinar a escritura como interveniente anuente. </w:t>
            </w:r>
          </w:p>
          <w:p>
            <w:pPr>
              <w:pStyle w:val="Normal1"/>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Provimento 6/2003 da Corregedoria Geral de Justiça de Santa Catarina - CGJ/SC e artigo 1.647, inciso II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instituidores declararem conviver em união estável e essa informação não constar na matrícula do imóvel (aquisição anterior), é necessário averbar a união estável antes do registro da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imóvel (aquisição anterior) constar a existência de união estável e na escritura o instituidor declarar não conviver, é necessário averbar a dissolução da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instituidores (retificação de dados de qualificação, casamento, separação, divórcio,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na própria escritura,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688, parágrafo 6º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imóvel objeto da instituição deve constituir em imóvel urbano ou rural, destinando-se em ambos os casos a domicílio familiar.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1.712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717 do CNCGJ/SC.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do título for um terreno e foram prometidas em pagamento unidades autônomas ainda não incorporadas ou instituídas, devemos solicitar a apresentação: (a) dos documentos relativos ao registro da incorporação ou da instituição, em protocolo separado, para registro concomitante; ou (b) de requerimento de cindibilidade, para que o registro seja realizado somente sobre o terreno, ficando o registro da promessa das unidades autônomas para um momento posterior.</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169, 172, 195, 217, 227, 236 e 237 da LRP, artigo 32 da Lei 4.591/1964 e artigo 1.332 do CC. </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deve constar na matrícula: (a) os dados do Certificado de Cadastro do Imóvel Rural (CCIR); e (b) a averbação do recibo de inscrição no Cadastro Ambiental Rural – CAR. Caso não conste, os referidos documentos devem ser apresentados para averbação.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conste na matrícula a informação de que o imóvel é rural, mas atualmente o imóvel não tenha a referida destinação, pode ser apresentado, em protocolo separado, um ofício de cancelamento do cadastro expedido pelo INCRA.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do  CNCGJ/SC, artigo 4º, inciso I da Lei 4.504/1964 e artigo 15 do Decreto-Lei 57/1966.</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 trate de um imóvel cadastrado como área de marinha, deve constar na matrícula o número do Registro Imobiliário Patrimonial (RIP). Caso não conste, deve ser apresentada a Certidão do RIP para averbação na matrícula.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 2.398/1987.</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declaração dos instituidores que o imóvel objeto da instituição se destina ao domicílio de sua família e ficará isento de execução por dívida?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260 da LRP. </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1</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os valores individualizados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valores declarados devem constar individualizadamente para cada imóvel, mesmo em se tratando de unidades autônomas de condomínios edilícios (ex: apartamento, vaga de garagem e hobby-box).</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III, item 5 da LRP e artigo 802, inciso IX do  CNCGJ/SC.</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2</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3</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artigo 762 do CN/CG-Extra.</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4</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5</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Quando os imóveis objetos da escritura forem unidades autônomas, consta a apresentação da prova de quitação dos débitos condominiais ou a declaração dos instituidores sobre a inexistência de débitos?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único da Lei 4.591/1964 e artigo 802, inciso VII do  CNCGJ/SC.</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devemos verificar se impede o registro do título.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artigo 1º da Lei 8.935/1994 e artigo 1º, parágrafo 3º do Decreto 93.240/1986.</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7</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ser o maior valor entre o valor declarado para o negócio e o valor real ou de mercado.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(valor fixo - Livro 3/RA)</w:t>
            </w:r>
            <w:r>
              <w:rPr>
                <w:rFonts w:eastAsia="Times New Roman" w:cs="Times New Roman" w:ascii="Times New Roman" w:hAnsi="Times New Roman"/>
                <w:sz w:val="20"/>
                <w:szCs w:val="20"/>
              </w:rPr>
              <w:t>: R$ 113,24 por matrícula.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2.8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Edital</w:t>
            </w:r>
            <w:r>
              <w:rPr>
                <w:rFonts w:eastAsia="Times New Roman" w:cs="Times New Roman" w:ascii="Times New Roman" w:hAnsi="Times New Roman"/>
                <w:sz w:val="20"/>
                <w:szCs w:val="20"/>
              </w:rPr>
              <w:t>: O proprietário deve recolher as custas relativas à publicação do edital, que serão cotadas após a qualificação positiva do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261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w:t>
            </w:r>
            <w:r>
              <w:rPr>
                <w:rFonts w:eastAsia="Times New Roman" w:cs="Times New Roman" w:ascii="Times New Roman" w:hAnsi="Times New Roman"/>
                <w:sz w:val="20"/>
                <w:szCs w:val="20"/>
              </w:rPr>
              <w:t>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18</w:t>
            </w:r>
          </w:p>
        </w:tc>
        <w:tc>
          <w:tcPr>
            <w:tcW w:w="845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Foi realizada a publicação do edital?</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No edital deve conter um resumo da escritura, com nome, naturalidade e profissão dos instituidores, data d</w:t>
            </w:r>
            <w:r>
              <w:rPr>
                <w:rFonts w:eastAsia="Times New Roman" w:cs="Times New Roman" w:ascii="Times New Roman" w:hAnsi="Times New Roman"/>
                <w:sz w:val="20"/>
                <w:szCs w:val="20"/>
              </w:rPr>
              <w:t>a escritura</w:t>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nome do tabelião</w:t>
            </w:r>
            <w:r>
              <w:rPr>
                <w:rFonts w:eastAsia="Times New Roman" w:cs="Times New Roman" w:ascii="Times New Roman" w:hAnsi="Times New Roman"/>
                <w:sz w:val="20"/>
                <w:szCs w:val="20"/>
              </w:rPr>
              <w:t>,</w:t>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xml:space="preserve"> a qualificação do imóvel objeto da instituição e um aviso de que, se alguém </w:t>
            </w:r>
            <w:r>
              <w:rPr>
                <w:rFonts w:eastAsia="Times New Roman" w:cs="Times New Roman" w:ascii="Times New Roman" w:hAnsi="Times New Roman"/>
                <w:sz w:val="20"/>
                <w:szCs w:val="20"/>
              </w:rPr>
              <w:t>se julgar prejudicado, deverá, dentro de 30 dias úteis, contados da data da publicação do edital, reclamar contra a instituição, por escrito</w:t>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for apresentada reclamação, o registro deve ser indeferido, disponibilizando cópia da reclamação aos instituidores.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instituidores podem requerer ao Juiz que ordene o registro, sem embargo da reclamação. Se o Juiz determinar o registro, deve ressalvar ao reclamante o direito de recorrer à ação competente para anular a instituição ou de fazer execução sobre o imóvel objeto da instituição, na hipótese de tratar-se de dívida anterior e cuja solução se tornou inexequível em virtude do ato de instituição.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despacho do Juiz será irrecorrível e, se deferir o pedido, será transcrito integralmente.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261 a 264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edital pode ser publicado em meio eletrônico ou impresso, a critério do interessado.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653-A do  CNCGJ/SC.</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4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5</Pages>
  <Words>3274</Words>
  <Characters>17998</Characters>
  <CharactersWithSpaces>21153</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2024-04-29T09:07:06Z</dcterms:modified>
  <cp:revision>1</cp:revision>
  <dc:subject/>
  <dc:title/>
</cp:coreProperties>
</file>