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drawing>
          <wp:inline distT="0" distB="0" distL="0" distR="0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PROTOCOLO: ______________  MATRÍCULA(S): __________________________________________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u w:val="single"/>
          <w:vertAlign w:val="baselin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u w:val="single"/>
          <w:vertAlign w:val="baseline"/>
        </w:rPr>
        <w:t>CANCELAMENTO DE CLÁUSULA RESOLUTIVA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ESCRITURA PÚBLICA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tbl>
      <w:tblPr>
        <w:tblStyle w:val="Table1"/>
        <w:tblW w:w="1050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5"/>
        <w:gridCol w:w="8460"/>
        <w:gridCol w:w="765"/>
        <w:gridCol w:w="809"/>
      </w:tblGrid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Sim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Não</w:t>
            </w:r>
            <w:bookmarkStart w:id="0" w:name="gjdgxs"/>
          </w:p>
        </w:tc>
      </w:tr>
      <w:tr>
        <w:trPr>
          <w:trHeight w:val="1905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bookmarkEnd w:id="0"/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outra prenotação vinculada às matrículas objetos do presente título?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entre as matrículas constantes no título e as matrículas prenotadas no sistema, devemos corrigir a prenotação e anotar a correção manuscritamente no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11, 12, 174, 182, 186 e 190 da Lei 6.015/1973  - Lei de Registros Públicos - LRP.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apresentado o título hábil para inscrição?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white"/>
              </w:rPr>
              <w:t>A escritura pública é essencial à validade dos negócios jurídicos que visem à constituição, transferência, modificação ou renúncia de direitos reais sobre imóveis de valor superior a trinta vezes o maior salário mínimo vigente no País.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108 do CC.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Para fins de aplicação do artigo 108 do CC, deve-se tomar por base o maior valor, dentre os parâmetros legais, referente à totalidade do imóvel, ainda que a alienação ou oneração seja parcial.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790 do Código de Normas da Corregedoria-Geral da Justiça do Estado de Santa Catarina - CNCGFE/SC.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3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conferida a autenticidade do título apresentado?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título físico, assinado manuscritamente, pode ser apresentada por meio do protocolo presencial, na via original ou em cópia autenticada, ou por meio do Serviço de Atendimento Eletrônico Compartilhado - SAEC, com cópia digitalizada, desde que seja possível conferir a autenticidade por meio do selo de fiscalização ou da plataforma do e-Notariado.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título seja digital, serão admitidas assinaturas eletrônicas qualificadas, com uso de certificado emitido com os requisitos da Infraestrutura de Chaves Públicas Brasileira - ICP-Brasil, ou avançadas, por meio do e-Notariado.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 conferência da autenticidade pode ser realizada por meio: (a) do selo digital de fiscalização, quando o Tribunal de Justiça dispuser de plataforma que contenha informações suficientes para vinculação do ato; (b) da plataforma do e-Notariado, se o instrumento permitir; ou (c) de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e-mail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ou ligação telefônica reduzida a termo, pelos contatos disponíveis no cadastro da serventia no CNJ. 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artigos 308, 355, parágrafo 1º, 762, 809 e 815 do CNCGFE/SC. 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na escritura a qualificação dos credores?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elementos mínimos para qualificação das pessoas físicas são: nome, nacionalidade, estado civil, CPF e endereço.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elementos mínimos para qualificação de uma pessoa jurídica são: denominação social, CNPJ, sede e representantes.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Se os credores forem casados por um regime diverso do legal deve constar na escritura o registro do pacto antenupcial.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176, parágrafo 1º, inciso III, item 2, alíneas “a” e “b” da LRP e artigo 476 do CNCGJ/SC.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5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Deve ser efetuada alguma averbação referente à qualificação dos credores (retificação de dados de qualificação, casamento, separação, divórcio, alteração da razão social, dissolução de união estável, etc.)?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averbação de retificação pode ser realizada com base na própria escritura, quando os dados necessários constarem expressamente.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averbação pode ser realizada ainda por meio de requerimento, acompanhado dos documentos competentes, apresentados em protocolo separado.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167, inciso II e 176, parágrafo 1º, inciso II, item 4, inciso III, item 2 e 213, inciso I, alínea “g” da LRP e artigo 688, parágrafo 6º do CNCGJ/SC.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averbação deverá ser feita em ato único, ainda que faça referência a diversos dados e detentores de direitos. Todavia, quando a ordem cronológica dos fatos averbáveis for interrompida por ato de registro, as averbações anteriores deverão ser agrupadas separadamente das posteriores.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688, parágrafos 1º e 4º-A, do CNCGJ/SC.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6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na escritura a qualificação dos imóveis?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os imóveis já tenham matrículas próprias, pode ser consignado no título somente a localização completa e o número da matrícula, não havendo necessidade da transcrição completa da descrição.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2º, parágrafo 1º da Lei 7.433/1985 e artigo 222 da LRP.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7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Deve ser efetuada alguma averbação referente ao imóvel (inscrição imobiliária, logradouro, etc.)?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Algumas averbações (ex.: inscrição imobiliária, logradouro, etc.) podem ser realizadas com base na própria escritura, quando os dados necessários constarem expressamente.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As demais averbações devem ser realizadas por meio de requerimento apresentado em protocolo separado, acompanhado dos documentos competentes.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176, parágrafo 1º, inciso II, item 3, alíneas “a” e “b”, 212, 213 e 225, todos da LRP e artigo 688, parágrafo 6º do CNCGJ/SC.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averbação deverá ser feita em ato único, ainda que faça referência a diversos dados de qualificação do imóvel.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688, parágrafo 2º, do CNCGJ/SC.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>Consta na escritura a autorização expres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sa </w:t>
            </w: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>para cancelamento das cláusulas resolutiva?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250, inciso III c/c artigo 251, inciso I da LRP.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5510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14 da LRP e artigo 4º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emolumentos serão de: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Averbação (sem valor)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82 e item 3.1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FRJ incidirá à razão de 22,73%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3º-A da Lei 8.067/1990.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ISS incidirá à razão de 5%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36 da Lei Municipal 3003/2011.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título foi qualificado negativamente?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Conferência inicial</w:t>
      </w:r>
      <w:r>
        <w:rPr>
          <w:rFonts w:eastAsia="Times New Roman" w:cs="Times New Roman" w:ascii="Times New Roman" w:hAnsi="Times New Roman"/>
          <w:sz w:val="20"/>
          <w:szCs w:val="20"/>
        </w:rPr>
        <w:t>: Data: ____/____/_____. Nome: _____________________. Assinatura: ____________________</w:t>
      </w:r>
    </w:p>
    <w:sectPr>
      <w:type w:val="nextPage"/>
      <w:pgSz w:w="11906" w:h="16838"/>
      <w:pgMar w:left="1134" w:right="1134" w:gutter="0" w:header="0" w:top="567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2</Pages>
  <Words>1158</Words>
  <Characters>6480</Characters>
  <CharactersWithSpaces>7575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2024-04-29T08:55:56Z</dcterms:modified>
  <cp:revision>1</cp:revision>
  <dc:subject/>
  <dc:title/>
</cp:coreProperties>
</file>