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CANCELAMENTO DE INCORPORAÇÃO IMOBILIÁRIA</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tbl>
      <w:tblPr>
        <w:tblStyle w:val="Table1"/>
        <w:tblW w:w="10704" w:type="dxa"/>
        <w:jc w:val="left"/>
        <w:tblInd w:w="-108" w:type="dxa"/>
        <w:tblLayout w:type="fixed"/>
        <w:tblCellMar>
          <w:top w:w="0" w:type="dxa"/>
          <w:left w:w="108" w:type="dxa"/>
          <w:bottom w:w="0" w:type="dxa"/>
          <w:right w:w="108" w:type="dxa"/>
        </w:tblCellMar>
        <w:tblLook w:val="0000"/>
      </w:tblPr>
      <w:tblGrid>
        <w:gridCol w:w="438"/>
        <w:gridCol w:w="9051"/>
        <w:gridCol w:w="601"/>
        <w:gridCol w:w="613"/>
      </w:tblGrid>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requerimento?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 .</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905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Foi apresentado o requerimento para cancelamento da incorporação imobiliária?</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requerimento deve conter a qualificação do incorporador, a indicação do número da matrícula do imóvel que será objeto da averbação e deve ser apresentado na via original.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13, inciso II, e 222 da LRP e artigos 706, 814 e 815 do Código de Normas da Corregedoria-Geral do Foro Extrajudicial do Tribunal de Justiça do Estado de Santa Catarina - CNCGFE/SC.</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Caso tenha fixado prazo de carência, a incorporação poderá ser cancelada até o prazo definido, que não pode ser superior a 180 dias, mesmo que tenha comercializado unidades autônomas.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Caso não tenha fixado prazo de carência, a incorporação poderá ser cancelada, desde que nenhuma unidade autônoma tenha sido comercializada, fato que deverá ser declarado expressamente no requerimento. Nesse caso, devemos verificar se há algum registro na matrícula, ou mesmo, prenotação de contratos ou escrituras.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Deverá constar ainda, o pedido expressado para cancelamento da minuta da convenção de condomínio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assinado manuscritamente, deve conter o reconhecimento de firma.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a autenticidade dos reconhecimentos de firma por meio de consulta ao selo de fiscalização.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CNCGFE/SC.</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 requerente seja pessoa jurídica e esteja representado por um de seus administradores, foi apresentado o documento hábil a comprovar seu poder de administração?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comprovação pode ser realizada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Sócios e Administradores (QSA) da Receita Federal.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mais de um administrador, bastará a assinatura de qualquer um deles.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799, 814 e 815 do CNCGFE/SC.</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4</w:t>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 requerente esteja representado por procurador, foi apresentada a procuração?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deve conferir poderes específicos para o ato a ser realizado e a identificação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661, parágrafo 1º,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pode ser apresentada em instrumento público ou particular,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procuração seja particular, deve conter o reconhecimento de firma do outorgante, exceto quando outorgada para advogado, hipótese em que o reconhecimento será dispensável.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pelo interessado.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públicas lavradas em outros Estados da Federação, devemos realizar o procedimento de confirmação de autenticidade e eficácia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procuração for pública e o procurador investido por meio de substabelecimento, deve ser apresentada toda a cadeia de procurações para conferência da autenticidade e, se for o caso, da eficácia.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355, parágrafo 1º,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1.018 do CC.</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5</w:t>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position w:val="0"/>
                <w:sz w:val="20"/>
                <w:sz w:val="20"/>
                <w:szCs w:val="20"/>
                <w:u w:val="single"/>
                <w:vertAlign w:val="baseline"/>
              </w:rPr>
              <w:t>Consta na matrícula do Livro 2/RG a averbação de patrimônio de afetação?</w:t>
            </w:r>
          </w:p>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 Caso positivo, pegar roteiro de conferência específico.</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6</w:t>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w:t>
            </w:r>
            <w:r>
              <w:rPr>
                <w:rFonts w:eastAsia="Times New Roman" w:cs="Times New Roman" w:ascii="Times New Roman" w:hAnsi="Times New Roman"/>
                <w:sz w:val="20"/>
                <w:szCs w:val="20"/>
              </w:rPr>
              <w:t xml:space="preserv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3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7</w:t>
            </w:r>
          </w:p>
        </w:tc>
        <w:tc>
          <w:tcPr>
            <w:tcW w:w="90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0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2</Pages>
  <Words>1189</Words>
  <Characters>6735</Characters>
  <CharactersWithSpaces>7859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2024-04-29T08:51:47Z</dcterms:modified>
  <cp:revision>1</cp:revision>
  <dc:subject/>
  <dc:title/>
</cp:coreProperties>
</file>