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CANCELAMENTO DE PREMONITÓRIA DE PENHORA</w:t>
      </w:r>
    </w:p>
    <w:p>
      <w:pPr>
        <w:pStyle w:val="Normal1"/>
        <w:pageBreakBefore w:val="false"/>
        <w:spacing w:lineRule="auto" w:line="240" w:before="120" w:after="0"/>
        <w:rPr>
          <w:rFonts w:ascii="Times New Roman" w:hAnsi="Times New Roman" w:eastAsia="Times New Roman" w:cs="Times New Roman"/>
          <w:position w:val="0"/>
          <w:sz w:val="16"/>
          <w:sz w:val="16"/>
          <w:szCs w:val="1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16"/>
          <w:sz w:val="16"/>
          <w:szCs w:val="16"/>
          <w:vertAlign w:val="baseline"/>
        </w:rPr>
      </w:r>
    </w:p>
    <w:tbl>
      <w:tblPr>
        <w:tblStyle w:val="Table1"/>
        <w:tblW w:w="1070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8"/>
        <w:gridCol w:w="9050"/>
        <w:gridCol w:w="601"/>
        <w:gridCol w:w="614"/>
      </w:tblGrid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Foi apresentado o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 documento competente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para o cancelamento da premonitória de penhora?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Podem ser apresentados: (a) mandado ou ofício expedido nos autos; (b) requerimento do exequente; (c) requerimento do executado ou do proprietário atual, quando: (c.1) acompanhada de decisão judicial que determine o cancelamento da premonitória; ou (c.2) comprovada a extinção do processo de execução, mediante a apresentação de sentença e do trânsito em julgado.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IV, e artigo 250, incisos I e III, da LRP e artigo 875, parágrafo 5º, do Código de Normas da Corregedoria-Geral do Foro Extrajudicial do Tribunal de Justiça do Estado de Santa Catarina -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assinado manuscritamente, deve conter o reconhecimento de firma.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II,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Devemos conferir a autenticidade dos reconhecimentos de firma por meio de consulta ao selo de fiscalização.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762 do CNCGFE/SC.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seja apresentado requerimento, o interessado foi representado por procurador?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procuração for pública, devemos realizar o procedimento de confirmação da autenticidade e eficácia.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procuração for pública e o procurador investido por meio de um substabelecimento, deve ser apresentada toda a cadeia de procurações para conferência da eficácia (eventual revogação ou renúncia).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488, 489 e 490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1.018 do Código Civil - CC.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seja apresentado um requerimento e o requerente seja pessoa jurídica, representado por um de seus administradores, foi apresentado o documento hábil a comprovar seu poder de administração?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Havendo mais de um administrador, bastará a assinatura de qualquer um deles.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documentos podem ser apresentados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A premonitória de penhora objeto do cancelamento está inscrita nas matrículas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premonitória penhora tenha sido inscrita,  devemos realizar a averbação de cancelamento.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não tenha sido apresentada para inscrição, devemos comunicar o interessado.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tenha sido apresentada para inscrição, mas o protocolo esteja qualificado negativamente, devemos cancelar a prenotação dos dois protocolos (premonitória de penhora e cancelamento) e comunicar ao interessado.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237 e 239 da LRP.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título seja qualificado negativamente e o interessado no ato seja beneficiário da justiça gratuita ou o título tenha sido protocolado diretamente pelo juízo, devemos inserir na aba “custas” a rubrica “cancelamento de protocolo” com o tipo de isenção “cancelamento sem valor”.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As exigências relacionadas ao título judicial,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protocolado pelo interessado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 cujo atendimento dependa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(a) manifestação do juízo, serão a este submetidas, por meio de ofício, devendo, ainda, ser formulada uma nota de exigência comunicando o interessado sobre a consulta ao juízo; e (b) providência do interessado, serão a ele submetidas, por meio de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As exigências relacionadas ao título judicial,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protocolado pelo juízo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 cujo atendimento dependa de manifestação do juízo ou de providência do interessado, serão submetidas ao juízo, por meio de ofício.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Normal1"/>
        <w:pageBreakBefore w:val="false"/>
        <w:spacing w:lineRule="auto" w:line="36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2</Pages>
  <Words>1162</Words>
  <Characters>6666</Characters>
  <CharactersWithSpaces>7764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2024-04-29T08:38:49Z</dcterms:modified>
  <cp:revision>1</cp:revision>
  <dc:subject/>
  <dc:title/>
</cp:coreProperties>
</file>