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E33CB7" w14:textId="77777777" w:rsidR="008432E2" w:rsidRDefault="008432E2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20F2D724" wp14:editId="1F344730">
            <wp:extent cx="2755900" cy="866140"/>
            <wp:effectExtent l="0" t="0" r="6350" b="0"/>
            <wp:docPr id="322" name="Picture 322" descr="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 descr="Text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CF274" w14:textId="77777777" w:rsidR="008432E2" w:rsidRDefault="008432E2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D5D4F9" w14:textId="409D4280" w:rsidR="00113CE6" w:rsidRDefault="008432E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PROTOCOLO: _____________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_  MATRÍCULA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(S): __________________________________________</w:t>
      </w:r>
    </w:p>
    <w:p w14:paraId="4E584347" w14:textId="77777777" w:rsidR="00113CE6" w:rsidRDefault="00113CE6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2B19C712" w14:textId="77777777" w:rsidR="00113CE6" w:rsidRDefault="008432E2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CÉDULA DE CRÉDITO BANCÁRIO</w:t>
      </w:r>
    </w:p>
    <w:p w14:paraId="16F6D3EF" w14:textId="77777777" w:rsidR="00113CE6" w:rsidRDefault="00113CE6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Style w:val="a"/>
        <w:tblW w:w="107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9040"/>
        <w:gridCol w:w="602"/>
        <w:gridCol w:w="613"/>
      </w:tblGrid>
      <w:tr w:rsidR="00113CE6" w14:paraId="689A901B" w14:textId="77777777">
        <w:tc>
          <w:tcPr>
            <w:tcW w:w="449" w:type="dxa"/>
          </w:tcPr>
          <w:p w14:paraId="162D3BDD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0" w:type="dxa"/>
          </w:tcPr>
          <w:p w14:paraId="605E3E10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14:paraId="1A7FCF2C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Sim</w:t>
            </w:r>
          </w:p>
        </w:tc>
        <w:tc>
          <w:tcPr>
            <w:tcW w:w="613" w:type="dxa"/>
          </w:tcPr>
          <w:p w14:paraId="343B78EB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Não</w:t>
            </w:r>
          </w:p>
        </w:tc>
      </w:tr>
      <w:tr w:rsidR="00113CE6" w14:paraId="5D4F50A6" w14:textId="77777777">
        <w:tc>
          <w:tcPr>
            <w:tcW w:w="449" w:type="dxa"/>
          </w:tcPr>
          <w:p w14:paraId="0C97599E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0" w:type="dxa"/>
          </w:tcPr>
          <w:p w14:paraId="2555B4E7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outra prenotação vinculada às matrículas objetos do presente título?</w:t>
            </w:r>
          </w:p>
          <w:p w14:paraId="6409C5BA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 w14:paraId="65F3592B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 w14:paraId="43B0B657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entre as matrículas constantes no título e as matrículas prenotadas no sistema, devemos corrigir a prenotação e anotar a correção manuscritamente no protocolo.</w:t>
            </w:r>
          </w:p>
          <w:p w14:paraId="6D4FFAC6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02" w:type="dxa"/>
          </w:tcPr>
          <w:p w14:paraId="30546F99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324A0930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CE6" w14:paraId="5CA781A7" w14:textId="77777777">
        <w:tc>
          <w:tcPr>
            <w:tcW w:w="449" w:type="dxa"/>
          </w:tcPr>
          <w:p w14:paraId="46D5E4D1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0" w:type="dxa"/>
          </w:tcPr>
          <w:p w14:paraId="16B81113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apresentado o título hábil para inscrição?</w:t>
            </w:r>
          </w:p>
          <w:p w14:paraId="2E73D601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o título for físico, assinado manuscritamente pelas partes, deve ser apresentado na via original, mas não é necessário o reconhecimento de firma, por se tratar de título de crédito, ao qual deve ser aplicado o princípio da informalidade.</w:t>
            </w:r>
          </w:p>
          <w:p w14:paraId="2CE59E82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791 do Código de Normas da Corregedoria-Geral do Foro Extrajudicial do Tribunal de Justiça do Estado de Santa Catarina - CNCGFE/SC.</w:t>
            </w:r>
          </w:p>
          <w:p w14:paraId="7FFEB944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título seja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-Notariado” ou do “Portal Gov.br”.</w:t>
            </w:r>
          </w:p>
          <w:p w14:paraId="6A164FF3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762 do CNCGFE/SC.</w:t>
            </w:r>
          </w:p>
        </w:tc>
        <w:tc>
          <w:tcPr>
            <w:tcW w:w="602" w:type="dxa"/>
          </w:tcPr>
          <w:p w14:paraId="75060CFE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042D65D0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CE6" w14:paraId="768A3E5A" w14:textId="77777777">
        <w:tc>
          <w:tcPr>
            <w:tcW w:w="449" w:type="dxa"/>
          </w:tcPr>
          <w:p w14:paraId="2125BA23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40" w:type="dxa"/>
          </w:tcPr>
          <w:p w14:paraId="3F629BB8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apresentada uma via negociável e as demais com a expressão “não negociável”?</w:t>
            </w:r>
          </w:p>
          <w:p w14:paraId="44FCB4DD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Somente a via do credor será negociável, devendo constar nas demais vias a expressão “não negociável”.</w:t>
            </w:r>
          </w:p>
          <w:p w14:paraId="2DB36604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tenha sido apresentada somente a via negociável, devemos formular uma nota de exigência solicitando a apresentação de uma via “não negociável” para arquivamento.</w:t>
            </w:r>
          </w:p>
          <w:p w14:paraId="565D783A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tenha sido apresentada somente uma via “não negociável”, devemos realizar o registro e arquivar essa via.</w:t>
            </w:r>
          </w:p>
          <w:p w14:paraId="5ADA1B91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29, parágrafo 3º da Lei 10.931/2004. </w:t>
            </w:r>
          </w:p>
        </w:tc>
        <w:tc>
          <w:tcPr>
            <w:tcW w:w="602" w:type="dxa"/>
          </w:tcPr>
          <w:p w14:paraId="7C6062FD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18C27188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CE6" w14:paraId="30161720" w14:textId="77777777">
        <w:tc>
          <w:tcPr>
            <w:tcW w:w="449" w:type="dxa"/>
          </w:tcPr>
          <w:p w14:paraId="3086FBA1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40" w:type="dxa"/>
          </w:tcPr>
          <w:p w14:paraId="45702FEC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Consta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na cédula os seguintes requisitos?</w:t>
            </w:r>
          </w:p>
          <w:p w14:paraId="7BEB41CE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denominação "Cédula de Crédito Bancário";</w:t>
            </w:r>
          </w:p>
          <w:p w14:paraId="0B486A35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promessa do emitente de pagar a dívida em dinheiro, certa, líquida e exigível no seu vencimento ou, no caso de dívida oriunda de contrato de abertura de crédito bancário, a promessa do emitente de pagar a dívida em dinheiro, certa, líquida e exigível, correspondente ao crédito utilizado;</w:t>
            </w:r>
          </w:p>
          <w:p w14:paraId="741F3C28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data e o lugar do pagamento da dívida e, no caso de pagamento parcelado, as datas e os valores de cada prestação, ou os critérios para essa determinação;</w:t>
            </w:r>
          </w:p>
          <w:p w14:paraId="6D53C09E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nome da instituição credora, podendo conter cláusula à ordem;</w:t>
            </w:r>
          </w:p>
          <w:p w14:paraId="4111516E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data e o lugar de sua emissão; e</w:t>
            </w:r>
          </w:p>
          <w:p w14:paraId="506DAF51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assinatura do emitente e, se for o caso, do terceiro garantidor da obrigação, ou de seus respectivos mandatários.</w:t>
            </w:r>
          </w:p>
          <w:p w14:paraId="1AEBA5C6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29, incisos I a VI da Lei 10.931/2004.</w:t>
            </w:r>
          </w:p>
        </w:tc>
        <w:tc>
          <w:tcPr>
            <w:tcW w:w="602" w:type="dxa"/>
          </w:tcPr>
          <w:p w14:paraId="5D434D42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79F7BCE2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CE6" w14:paraId="333A6B84" w14:textId="77777777">
        <w:tc>
          <w:tcPr>
            <w:tcW w:w="449" w:type="dxa"/>
          </w:tcPr>
          <w:p w14:paraId="5A81E530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0" w:type="dxa"/>
          </w:tcPr>
          <w:p w14:paraId="444255FA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na cédula ou em título apartado a constituição de uma garantia real (hipoteca ou alienação fiduciária)?</w:t>
            </w:r>
          </w:p>
          <w:p w14:paraId="3FE9351B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cédula de crédito bancário não deve ser registrada no Livro 3/RA, devemos registrar somente a garantia no Livro 2/RG.</w:t>
            </w:r>
          </w:p>
          <w:p w14:paraId="70A72C1D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42 da Lei 10.931/2004.</w:t>
            </w:r>
          </w:p>
        </w:tc>
        <w:tc>
          <w:tcPr>
            <w:tcW w:w="602" w:type="dxa"/>
          </w:tcPr>
          <w:p w14:paraId="58545689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3688A54E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CE6" w14:paraId="31B1380E" w14:textId="77777777">
        <w:tc>
          <w:tcPr>
            <w:tcW w:w="449" w:type="dxa"/>
          </w:tcPr>
          <w:p w14:paraId="633B7A0C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0" w:type="dxa"/>
          </w:tcPr>
          <w:p w14:paraId="7BC6090E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mencionado na cédula ou foi apresentado um contrato de abertura de limite de crédito?</w:t>
            </w:r>
          </w:p>
          <w:p w14:paraId="77565119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for apresentado junto com a Cédula de Crédito Bancário um contrato de abertura de limite de crédito (Lei 13.476/2017) e a garantia real estiver constituída no contrato devemos observar os seguintes pontos:</w:t>
            </w:r>
          </w:p>
          <w:p w14:paraId="45722564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Nos contratos de abertura de limite de crédito devem ser mencionadas as seguintes informações:</w:t>
            </w:r>
          </w:p>
          <w:p w14:paraId="47114A2A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valor total do limite de crédito aberto;</w:t>
            </w:r>
          </w:p>
          <w:p w14:paraId="7D57091E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prazo de vigência;</w:t>
            </w:r>
          </w:p>
          <w:p w14:paraId="0F05B844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 forma de celebração das operações financeiras derivadas; </w:t>
            </w:r>
          </w:p>
          <w:p w14:paraId="697ABFA0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As taxas mínima e máxima de juros que incidirão nas operações financeiras derivadas, cobradas de forma capitalizada ou não, e os demais encargos passíveis de cobrança por ocasião da realização das referidas operações financeiras derivadas;</w:t>
            </w:r>
          </w:p>
          <w:p w14:paraId="25163C70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descrição das garantias, reais e pessoais, com a previsão expressa de que as garantias constituídas abrangerão todas as operações financeiras derivadas nos termos da abertura de limite de crédito, inclusive as dívidas futuras;</w:t>
            </w:r>
          </w:p>
          <w:p w14:paraId="611949F6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A previsão de que o inadimplemento de qualquer uma das operações faculta ao credor, independentemente de aviso ou interpelação judicial, considerar vencida antecipadamente as demais operações derivadas, tornando-se exigível a totalidade da dívida para todos os efeitos legais.</w:t>
            </w:r>
          </w:p>
          <w:p w14:paraId="223741D4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4º, incisos I a VI da Lei 13.476/2017.</w:t>
            </w:r>
          </w:p>
          <w:p w14:paraId="3CE5253A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As garantias constituídas no contrato de abertura de limite de crédito servirão para assegurar todas as operações financeiras derivadas, independentemente de qualquer novo registro e/ou averbação adicional. Por esse motivo, quando for apresentado um contrato de abertura de limite de crédito, mesmo que faça menção a um contrato de mútuo ou a uma cédula de crédito, no registro da alienação fiduciária não devem ser mencionados os dados dessa primeira operação de crédito.</w:t>
            </w:r>
          </w:p>
          <w:p w14:paraId="3DD1F94A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4º, parágrafo 6º da Lei 13.476/2017.</w:t>
            </w:r>
          </w:p>
        </w:tc>
        <w:tc>
          <w:tcPr>
            <w:tcW w:w="602" w:type="dxa"/>
          </w:tcPr>
          <w:p w14:paraId="3B554FD8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52E4E1A4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CE6" w14:paraId="3FAA35D7" w14:textId="77777777">
        <w:tc>
          <w:tcPr>
            <w:tcW w:w="449" w:type="dxa"/>
          </w:tcPr>
          <w:p w14:paraId="76C04501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40" w:type="dxa"/>
          </w:tcPr>
          <w:p w14:paraId="492421FC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Consta na cédula a qualificação dos devedores,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dos terceiro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garantidores, se for o caso, e dos credores?</w:t>
            </w:r>
          </w:p>
          <w:p w14:paraId="0A38ACAC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Os elementos mínimos para qualificação das pessoas físicas são: nome,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nacionalidade,estado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civil, CPF e endereço.</w:t>
            </w:r>
          </w:p>
          <w:p w14:paraId="3B44FA15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elementos mínimos para qualificação de uma pessoa jurídica são: denominação social, CNPJ e sede.</w:t>
            </w:r>
          </w:p>
          <w:p w14:paraId="603AC8ED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176, parágrafo 1º, inciso III, item 2, alíneas “a” e “b” da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LRP  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artigo 476 CNCGJ/SC.</w:t>
            </w:r>
          </w:p>
          <w:p w14:paraId="4A3B0902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os outorgantes forem pessoas físicas casadas, é necessária a autorização do outro cônjuge para alienar ou gravar de ônus real os bens imóveis, salvo se for adotado o regime da separação de bens ou se, adotado o regime da participação final nos aquestos, houver estipulação expressa no pacto antenupcial sobre a livre disposição dos bens.</w:t>
            </w:r>
          </w:p>
          <w:p w14:paraId="55D5748E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artigos 1.647, inciso I, 1.656 e 1.687 do Código Civil - CC.  </w:t>
            </w:r>
          </w:p>
        </w:tc>
        <w:tc>
          <w:tcPr>
            <w:tcW w:w="602" w:type="dxa"/>
          </w:tcPr>
          <w:p w14:paraId="78E55BD3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1200B19B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CE6" w14:paraId="51AE31CA" w14:textId="77777777">
        <w:tc>
          <w:tcPr>
            <w:tcW w:w="449" w:type="dxa"/>
          </w:tcPr>
          <w:p w14:paraId="7FE04B39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40" w:type="dxa"/>
          </w:tcPr>
          <w:p w14:paraId="5AB2CCE8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os outorgantes sejam pessoas físicas não casadas (solteiro, separado, divorciado ou viúvo), consta no contrato a declaração de união estável?</w:t>
            </w:r>
          </w:p>
          <w:p w14:paraId="186BBC39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conviva em união estável deve constar a qualificação completa do companheiro e o regime de bens que vigora na união estável.</w:t>
            </w:r>
          </w:p>
          <w:p w14:paraId="7820854F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não pactuado regime de bens na união estável, vigora entre os companheiros o regime da comunhão parcial de bens, motivo pelo qual o companheiro deve figurar como anuente.</w:t>
            </w:r>
          </w:p>
          <w:p w14:paraId="12A72728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pactuado o regime da comunhão universal de bens na união estável, o companheiro deve figurar no como outorgante.</w:t>
            </w:r>
          </w:p>
          <w:p w14:paraId="3195DBF6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pactuado o regime da separação de bens na união estável, o companheiro não precisa assinar o contrato como anuente.</w:t>
            </w:r>
          </w:p>
          <w:p w14:paraId="5D242935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 declaração, quando negativa, deve constar no contrato ou ser apresentada apartada. </w:t>
            </w:r>
          </w:p>
          <w:p w14:paraId="4F4DC2F9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Provimento 6/2003 da Corregedoria Geral de Justiça de Santa Catarina - CGJ/SC e artigo 1.647, inciso II do CC.</w:t>
            </w:r>
          </w:p>
          <w:p w14:paraId="753DB9CC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os outorgantes declararem conviver em união estável e essa informação não constar na matrícula do imóvel (aquisição anterior), é necessário averbar a união estável antes do registro do contrato.</w:t>
            </w:r>
          </w:p>
          <w:p w14:paraId="5C0DC42A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na matrícula do imóvel (aquisição anterior) constar a existência de união estável e no contrato os outorgantes declararem não conviver, é necessário averbar a dissolução da união estável.</w:t>
            </w:r>
          </w:p>
          <w:p w14:paraId="172B5F3E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685, inciso VIII e 687 do CNCGJ/SC, artigos 1º e 5º da Lei 9.278/1996, artigos 1.723 e 1.725 do CC, artigo 226, parágrafo 3º da Constituição Federal e artigos 167, inciso II, itens 1, 5 e 10, 169, 195 e 237 da LRP.</w:t>
            </w:r>
          </w:p>
        </w:tc>
        <w:tc>
          <w:tcPr>
            <w:tcW w:w="602" w:type="dxa"/>
          </w:tcPr>
          <w:p w14:paraId="75F19B25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50D9E189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CE6" w14:paraId="4FD0608D" w14:textId="77777777">
        <w:tc>
          <w:tcPr>
            <w:tcW w:w="449" w:type="dxa"/>
          </w:tcPr>
          <w:p w14:paraId="22B8F73D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40" w:type="dxa"/>
          </w:tcPr>
          <w:p w14:paraId="2CF1A55F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Deve ser efetuada alguma averbação referente à qualificação dos outorgantes (retificação de dados de qualificação, casamento, separação, divórcio, alteração da razão social, dissolução de união estável, etc.)?</w:t>
            </w:r>
          </w:p>
          <w:p w14:paraId="4D61E88E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 necessário, devem ser apresentados o requerimento e o documento hábil em protocolo separado.</w:t>
            </w:r>
          </w:p>
          <w:p w14:paraId="40236E85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167, inciso II e 176, parágrafo 1º, inciso II, item 4, inciso III, item 2 e 213, inciso I, alínea “g” da LRP.</w:t>
            </w:r>
          </w:p>
          <w:p w14:paraId="2A53C37A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complementação de dados de especialidade subjetiva ausentes ou insuficientes, ou sua modificação, será objeto de ato único por pessoa ou casal, ainda que faça referência a vários elementos, excetuadas as hipóteses de títulos diversos, que devem ter prenotações distintas</w:t>
            </w:r>
          </w:p>
          <w:p w14:paraId="6A7EED05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706, parágrafo 6º, 713, parágrafos 8º e 9º, do CN/CG-Extra.</w:t>
            </w:r>
          </w:p>
        </w:tc>
        <w:tc>
          <w:tcPr>
            <w:tcW w:w="602" w:type="dxa"/>
          </w:tcPr>
          <w:p w14:paraId="2257C085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1B8170C8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CE6" w14:paraId="03003B55" w14:textId="77777777">
        <w:tc>
          <w:tcPr>
            <w:tcW w:w="449" w:type="dxa"/>
          </w:tcPr>
          <w:p w14:paraId="0814EE66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0" w:type="dxa"/>
          </w:tcPr>
          <w:p w14:paraId="260A651F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a outorgada esteja representada por seus administradores, foram apresentados os documentos hábeis a atestar seus poderes?</w:t>
            </w:r>
          </w:p>
          <w:p w14:paraId="77D61439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poderes de administração das sociedades empresárias serão comprovados por meio da última alteração contratual consolidada e da certidão simplificada, ambas expedidas pela Junta Comercial.</w:t>
            </w:r>
          </w:p>
          <w:p w14:paraId="6AD2D739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Não basta identificar os administradores, é necessário conferir quais são os poderes e quais administradores devem assinar o título.</w:t>
            </w:r>
          </w:p>
          <w:p w14:paraId="3597A41D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documentos devem ser apresentados na via original ou em cópia autenticada.</w:t>
            </w:r>
          </w:p>
          <w:p w14:paraId="157FB07F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já tenhamos os documentos arquivados no servidor de arquivos, devemos apenas conferir a atualidade.</w:t>
            </w:r>
          </w:p>
          <w:p w14:paraId="5EA2C84F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296, parágrafo 2º, 794, 799, 814 e 815 do CNCGFE/SC.</w:t>
            </w:r>
          </w:p>
        </w:tc>
        <w:tc>
          <w:tcPr>
            <w:tcW w:w="602" w:type="dxa"/>
          </w:tcPr>
          <w:p w14:paraId="25EB662D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52BBA044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CE6" w14:paraId="17E2B3E4" w14:textId="77777777">
        <w:tc>
          <w:tcPr>
            <w:tcW w:w="449" w:type="dxa"/>
          </w:tcPr>
          <w:p w14:paraId="3AF0CB33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40" w:type="dxa"/>
          </w:tcPr>
          <w:p w14:paraId="42B03A86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alguma parte esteja representada por procurador, foi apresentada a procuração?</w:t>
            </w:r>
          </w:p>
          <w:p w14:paraId="7DC1ECBC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procuração deve conferir poderes específicos para o ato a ser realizado e a identificação dos imóveis.</w:t>
            </w:r>
          </w:p>
          <w:p w14:paraId="13A3E222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661, parágrafo 1º, do Código Civil - CC.</w:t>
            </w:r>
          </w:p>
          <w:p w14:paraId="1126F351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procuração pode ser apresentada em instrumento público ou particular, na via original ou em cópia autenticada.</w:t>
            </w:r>
          </w:p>
          <w:p w14:paraId="1E513069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a procuração seja particular, deve conter o reconhecimento de firma do outorgante, exceto quando outorgada para advogado, hipótese em que o reconhecimento será dispensável.</w:t>
            </w:r>
          </w:p>
          <w:p w14:paraId="2BBAF8A6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a procuração seja pública, lavrada em Santa Catarina, devemos conferir apenas a autenticidade por meio de consulta ao selo digital de fiscalização. A eficácia da procuração deve ser presumida se o ato foi praticado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pelo procurador antes do termo final estipulado ou se a procuração foi pactuada por prazo indeterminado. A confirmação da eficácia será excepcional, somente se houver fundada dúvida, e deverá ser realizada por meio de certidão atualizada, de inteiro teor ou específica, a ser providenciada pelo interessado.  </w:t>
            </w:r>
          </w:p>
          <w:p w14:paraId="3EE1BD3D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Para as procurações públicas lavradas em outros Estados da Federação, devemos realizar o procedimento de confirmação de autenticidade e eficácia por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 ligação telefônica reduzida a termo, pelos contatos disponíveis no cadastro da serventia no CNJ.</w:t>
            </w:r>
          </w:p>
          <w:p w14:paraId="7525AB31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a procuração for pública e o procurador investido por meio de substabelecimento, deve ser apresentada toda a cadeia de procurações para conferência da autenticidade e, se for o caso, da eficácia.</w:t>
            </w:r>
          </w:p>
          <w:p w14:paraId="4125756E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308 do CNCGFE/SC.</w:t>
            </w:r>
          </w:p>
          <w:p w14:paraId="5516D5E6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autenticidade do ato só é garantida depois do recebimento dos dados pelo Poder Judiciário.</w:t>
            </w:r>
          </w:p>
          <w:p w14:paraId="6818C9B2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355, parágrafo 1º, do CNCGFE/SC.</w:t>
            </w:r>
          </w:p>
          <w:p w14:paraId="19FE9625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representação das pessoas jurídicas deve ocorrer, sempre, por meio de seus administradores (nos limites do contrato social/estatuto) ou por procuradores da sociedade (nos limites da procuração outorgada pela sociedade, que deverá indicar os poderes específicos e a identificação do imóvel).</w:t>
            </w:r>
          </w:p>
          <w:p w14:paraId="56D2D32B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Não podem ser aceitas procurações em que sócios administradores se fazem representar, pessoalmente, nem devem ser aceitas procurações onde a sociedade, mesmo que por seu administrador, outorga poderes de administração ampla a terceiro.</w:t>
            </w:r>
          </w:p>
          <w:p w14:paraId="70FC0EA1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1.018 do CC.</w:t>
            </w:r>
          </w:p>
        </w:tc>
        <w:tc>
          <w:tcPr>
            <w:tcW w:w="602" w:type="dxa"/>
          </w:tcPr>
          <w:p w14:paraId="10CA39EA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391C9090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CE6" w14:paraId="30D56BBC" w14:textId="77777777">
        <w:tc>
          <w:tcPr>
            <w:tcW w:w="449" w:type="dxa"/>
          </w:tcPr>
          <w:p w14:paraId="6F1BE18E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0" w:type="dxa"/>
          </w:tcPr>
          <w:p w14:paraId="1BA8F97A" w14:textId="77777777" w:rsidR="00113CE6" w:rsidRDefault="008432E2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apresentada a certidão negativa de débitos federais relativa ao outorgante?</w:t>
            </w:r>
          </w:p>
          <w:p w14:paraId="3C777E95" w14:textId="77777777" w:rsidR="00113CE6" w:rsidRDefault="008432E2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regularidade fiscal perante a Fazenda Nacional será comprovada por meio da certidão negativa expedida conjuntamente pela Receita Federal e pela Procuradoria-Geral da Fazenda Nacional, referente a todos os créditos tributários federais e à dívida ativa da União.</w:t>
            </w:r>
          </w:p>
          <w:p w14:paraId="4F3FFBFC" w14:textId="77777777" w:rsidR="00113CE6" w:rsidRDefault="008432E2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É possível a dispensa da certidão, mediante declaração do: (a) outorgante, quando for pessoa física que não exerce qualquer atividade que o equipare à pessoa jurídica, não estando, portanto, sujeito às contribuições sociais; e (b) outorgante, acompanhada dos documentos societários para comprovação do objeto social, quando a empresa outorgante explorar, exclusivamente, atividades de compra e venda, locação, desmembramento, loteamento, incorporação imobiliária ou construção de imóveis destinados à venda, co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ntanto que os imóveis objetos da transação estejam contabilmente lançados no seu ativo circulante e não tenham constado, em seu ativo permanente.</w:t>
            </w:r>
          </w:p>
          <w:p w14:paraId="64B2D4ED" w14:textId="77777777" w:rsidR="00113CE6" w:rsidRDefault="008432E2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47, inciso I, alínea “b” da Lei 8.212/1991, artigo 680, parágrafo único, do CN/CG-Extra e artigos 1º e 17 da Portaria Conjunta RFB-PGFN 1.751/2014.</w:t>
            </w:r>
          </w:p>
          <w:p w14:paraId="3B9F74E5" w14:textId="77777777" w:rsidR="00113CE6" w:rsidRDefault="008432E2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a declaração seja física, deve conter o reconhecimento de firma e quando tratar-se de documento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-Notariado” ou do “Portal Gov.br”.</w:t>
            </w:r>
          </w:p>
          <w:p w14:paraId="6F544523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17, parágrafos 1º e 2º, da LRP, artigo 4º, incisos II e III, c/c artigo 5º, parágrafo 2º, inciso IV, da Lei 14.063/2020, artigo 762 do CN/CG-Extra.</w:t>
            </w:r>
          </w:p>
        </w:tc>
        <w:tc>
          <w:tcPr>
            <w:tcW w:w="602" w:type="dxa"/>
          </w:tcPr>
          <w:p w14:paraId="0EED48A7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4008E8BD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CE6" w14:paraId="32CC9AD6" w14:textId="77777777">
        <w:tc>
          <w:tcPr>
            <w:tcW w:w="449" w:type="dxa"/>
          </w:tcPr>
          <w:p w14:paraId="0692D34F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40" w:type="dxa"/>
          </w:tcPr>
          <w:p w14:paraId="49C1202A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Quando a garantia real for por meio de alienação fiduciária, consta na cédula ou no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contrato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as seguintes informações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?</w:t>
            </w:r>
          </w:p>
          <w:p w14:paraId="10FBDA61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valor do principal da dívida;</w:t>
            </w:r>
          </w:p>
          <w:p w14:paraId="28F57D07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prazo e as condições de reposição do empréstimo ou do crédito do fiduciário – com indicação da data do vencimento da primeira parcela;</w:t>
            </w:r>
          </w:p>
          <w:p w14:paraId="6CCA3B73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taxa de juros e os encargos incidentes;</w:t>
            </w:r>
          </w:p>
          <w:p w14:paraId="255796AD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cláusula de constituição da propriedade fiduciária, com a descrição do imóvel objeto da alienação fiduciária e a indicação do título e modo de aquisição;</w:t>
            </w:r>
          </w:p>
          <w:p w14:paraId="2C3C33E7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cláusula assegurando ao fiduciante, enquanto adimplente, a livre utilização, por sua conta e risco, do imóvel objeto da alienação fiduciária;</w:t>
            </w:r>
          </w:p>
          <w:p w14:paraId="1CA00295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indicação, para efeito de venda em público leilão, do valor do imóvel e dos critérios para a respectiva revisão;</w:t>
            </w:r>
          </w:p>
          <w:p w14:paraId="418FC38E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cláusula dispondo sobre os procedimentos para a consolidação da propriedade – indicando prazo de carência.</w:t>
            </w:r>
          </w:p>
          <w:p w14:paraId="434DE59E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24 da Lei 9.514/1997.</w:t>
            </w:r>
          </w:p>
        </w:tc>
        <w:tc>
          <w:tcPr>
            <w:tcW w:w="602" w:type="dxa"/>
          </w:tcPr>
          <w:p w14:paraId="1E6EBFBC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19BE40E7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CE6" w14:paraId="63CAC75B" w14:textId="77777777">
        <w:tc>
          <w:tcPr>
            <w:tcW w:w="449" w:type="dxa"/>
          </w:tcPr>
          <w:p w14:paraId="6E5CD111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40" w:type="dxa"/>
          </w:tcPr>
          <w:p w14:paraId="79CD6465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Quando a garantia real for por meio de hipoteca, consta na cédula ou no contrato as seguintes informações?</w:t>
            </w:r>
          </w:p>
          <w:p w14:paraId="57917432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valor do crédito, sua estimação, ou valor máximo;</w:t>
            </w:r>
          </w:p>
          <w:p w14:paraId="02238599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prazo fixado para pagamento;</w:t>
            </w:r>
          </w:p>
          <w:p w14:paraId="27C8F37C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taxa dos juros, se houver; e</w:t>
            </w:r>
          </w:p>
          <w:p w14:paraId="633198AA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bem dado em garantia com as suas especificações.</w:t>
            </w:r>
          </w:p>
          <w:p w14:paraId="00BAA095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1.424 do CC.</w:t>
            </w:r>
          </w:p>
          <w:p w14:paraId="12AF1A0C" w14:textId="77777777" w:rsidR="00113CE6" w:rsidRDefault="008432E2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 apresentada uma hipoteca em grau superior e a hipoteca em grau inferior não esteja registrada na matrícula, devemos aguardar o prazo de prenotação (30 dias) para que o interessado na hipoteca anterior promova a inscrição. Decorrido o prazo, sem a apresentação da hipoteca anterior, devemos registrar o título, assim, essa hipoteca terá preferência sobre aquela.</w:t>
            </w:r>
          </w:p>
          <w:p w14:paraId="6286EE63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Trata-se de exceção disposta em Lei, motivo pelo qual não devemos fazer exigência solicitando o registro da hipoteca de grau inferior.</w:t>
            </w:r>
          </w:p>
          <w:p w14:paraId="6D7441DD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189 da LRP.</w:t>
            </w:r>
          </w:p>
        </w:tc>
        <w:tc>
          <w:tcPr>
            <w:tcW w:w="602" w:type="dxa"/>
          </w:tcPr>
          <w:p w14:paraId="200FA10A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12A1C9E3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CE6" w14:paraId="4C90EA94" w14:textId="77777777">
        <w:tc>
          <w:tcPr>
            <w:tcW w:w="449" w:type="dxa"/>
          </w:tcPr>
          <w:p w14:paraId="754EC93E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40" w:type="dxa"/>
          </w:tcPr>
          <w:p w14:paraId="6A8B51E5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no título a qualificação dos imóveis?</w:t>
            </w:r>
          </w:p>
          <w:p w14:paraId="7DD1C07D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Caso os imóveis tenham matrículas próprias, pode ser consignado no título somente a localização completa e o número da matrícula, não havendo necessidade da transcrição completa da descrição.</w:t>
            </w:r>
          </w:p>
          <w:p w14:paraId="72D276BD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2º, parágrafo 1º, da Lei 7.433/1985 e artigo 222 da LRP.</w:t>
            </w:r>
          </w:p>
          <w:p w14:paraId="0F223044" w14:textId="77777777" w:rsidR="00113CE6" w:rsidRDefault="008432E2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não houver edificação no terreno, é necessário constar o nome do logradouro, a expressão “s/nº”, se o imóvel fica no lado par ou ímpar do logradouro e a indicação: (a) da distância da esquina ou edificação mais próxima; ou (b) da numeração predial de imóvel confrontante, complementando, ainda, se este fica do lado direito ou esquerdo.</w:t>
            </w:r>
          </w:p>
          <w:p w14:paraId="2DA26111" w14:textId="77777777" w:rsidR="00113CE6" w:rsidRDefault="008432E2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176, parágrafo 1º, inciso II, item 3, alíneas “a” e “b”, e 225 da LRP.</w:t>
            </w:r>
          </w:p>
          <w:p w14:paraId="4972A423" w14:textId="77777777" w:rsidR="00113CE6" w:rsidRDefault="008432E2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a descrição da matrícula for omissa em relação às medidas perimetrais e/ou área total, é recomendável a realização do procedimento de retificação de área, previsto nos artigos 212 e 213 da LRP. Todavia, quando não houver dúvida sobre a identificação do imóvel e o mesmo for alienado ou onerado integralmente, fica facultado ao interessado requerer que seja realizada a inscrição do título sem a especialização do imóvel, ficando ciente de que a retificação de área será exigida caso seja necessário insc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rever algum ato em que a conferência dos elementos de qualificação do imóvel seja imprescindível, como por exemplo: atingimento do sistema viário, unificação, parcelamento do solo, incorporação imobiliária, instituição de condomínio, etc. </w:t>
            </w:r>
          </w:p>
          <w:p w14:paraId="4E0FC02F" w14:textId="77777777" w:rsidR="00113CE6" w:rsidRDefault="008432E2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Decisão proferida em 05/02/2018 no Processo SAE 11278-LAUNSO, pelo Juiz - Diretor do Foro da Comarca da Capital/SC.  </w:t>
            </w:r>
          </w:p>
          <w:p w14:paraId="4D4CB360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seja a primeira alienação ou oneração prenotada após o registro da incorporação, devemos observar se decorreu o prazo de 180 dias para concretização da incorporação. Considera-se concretizada a incorporação quando ocorrer uma das seguintes hipóteses: (a) formalização da alienação ou da oneração de alguma unidade futura, comprovada mediante a apresentação de instrumento de promessa de compra e venda ou da venda definitiva; (b) contratação de financiamento para a construção; ou (c) início das obras do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empreendimento, a ser comprovada mediante declaração do incorporador.</w:t>
            </w:r>
          </w:p>
          <w:p w14:paraId="128A3DB9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for possível a comprovação, devemos realizar uma averbação na matrícula para constar a concretização da incorporação. Todavia, se o incorporador não puder comprovar, deverá apresentar requerimento e as certidões e documentos, quando estes estiverem com prazo de validade vencido, previstos no artigo 32 da Lei 4.591/1964, para averbação da revalidação do registro.</w:t>
            </w:r>
          </w:p>
          <w:p w14:paraId="5C6E9F7F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33 da Lei 4.591/1964 e artigo 1.078 do CNCGFE/SC. </w:t>
            </w:r>
          </w:p>
        </w:tc>
        <w:tc>
          <w:tcPr>
            <w:tcW w:w="602" w:type="dxa"/>
          </w:tcPr>
          <w:p w14:paraId="1AE9BB4F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13C375F5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CE6" w14:paraId="00E7BB16" w14:textId="77777777">
        <w:trPr>
          <w:trHeight w:val="2460"/>
        </w:trPr>
        <w:tc>
          <w:tcPr>
            <w:tcW w:w="449" w:type="dxa"/>
          </w:tcPr>
          <w:p w14:paraId="6E8420E8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040" w:type="dxa"/>
          </w:tcPr>
          <w:p w14:paraId="5DEF48C2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Os imóveis são urbanos?</w:t>
            </w:r>
          </w:p>
          <w:p w14:paraId="3FC72AA5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 rural, deve constar na matrícula: (a) os dados do Certificado de Cadastro do Imóvel Rural (CCIR); e (b) a averbação do recibo de inscrição no Cadastro Ambiental Rural – CAR. Caso não conste, os referidos documentos devem ser apresentados para averbação.</w:t>
            </w:r>
          </w:p>
          <w:p w14:paraId="56BBD28F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176, inciso II, item 3, alínea “a” da LRP, artigos 12, 18 e 19 da Lei 12.651/2012, artigo 685, inciso XII e parágrafo 3º do CNCGJ/SC e artigo 4º, inciso I da Lei 4.504/1964.</w:t>
            </w:r>
          </w:p>
          <w:p w14:paraId="7E8990E3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 rural, deve ser apresentada, ainda, a Certidão Negativa de Débitos Relativos ao Imposto sobre a Propriedade Territorial Rural (CND-ITR) ou a declaração de dispensa dos adquirentes.</w:t>
            </w:r>
          </w:p>
          <w:p w14:paraId="7E88459A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15 do Decreto-Lei 57/1966, artigo 21 da Lei 9.393/1996 e artigo 677-A do CNCGJ/SC.</w:t>
            </w:r>
          </w:p>
          <w:p w14:paraId="4CE32FF0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conste na matrícula a informação de que o imóvel é rural, mas atualmente o imóvel não tenha a referida destinação, pode ser apresentado, em protocolo separado, um ofício de cancelamento do cadastro expedido pelo INCRA. </w:t>
            </w:r>
          </w:p>
          <w:p w14:paraId="42B2E1EE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 trate de um imóvel cadastrado como área de marinha, deve constar na matrícula o número do Registro Imobiliário Patrimonial (RIP). Caso não conste, deve ser apresentada a Certidão do RIP para averbação na matrícula.</w:t>
            </w:r>
          </w:p>
          <w:p w14:paraId="639235D6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1º e 2º do Decreto-Lei 9.760/1946, artigos 1º e 2º da Lei 9.636/1998 e artigos 3º e 3º-A do Decreto 2.398/1987.</w:t>
            </w:r>
          </w:p>
        </w:tc>
        <w:tc>
          <w:tcPr>
            <w:tcW w:w="602" w:type="dxa"/>
          </w:tcPr>
          <w:p w14:paraId="7B282C6E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4F3D620F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CE6" w14:paraId="4710DB0E" w14:textId="77777777">
        <w:trPr>
          <w:trHeight w:val="1175"/>
        </w:trPr>
        <w:tc>
          <w:tcPr>
            <w:tcW w:w="449" w:type="dxa"/>
          </w:tcPr>
          <w:p w14:paraId="5500E21B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40" w:type="dxa"/>
          </w:tcPr>
          <w:p w14:paraId="1DEEF89C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Deve ser efetuada alguma inscrição referente ao imóvel (inscrição imobiliária, logradouro, construção, desmembramento, incorporação imobiliária, unificação, CAR, etc.)?</w:t>
            </w:r>
          </w:p>
          <w:p w14:paraId="73C42C98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 necessário, devem ser apresentados em protocolo separado o requerimento e os documentos competentes.</w:t>
            </w:r>
          </w:p>
          <w:p w14:paraId="47EFBEB3" w14:textId="77777777" w:rsidR="00113CE6" w:rsidRDefault="008432E2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176, parágrafo 1º, inciso II, item 3, alíneas “a” e “b”, 212, 213 e 225, todos da LRP.</w:t>
            </w:r>
          </w:p>
          <w:p w14:paraId="5373C00E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complementação de dados de especialidade objetiva ausentes ou insuficientes, ou sua modificação, será objeto de ato único, ainda que faça referência a vários elementos, excetuadas a averbação de retificação de área e as hipóteses de títulos diversos, que devem ter prenotações distintas.</w:t>
            </w:r>
          </w:p>
          <w:p w14:paraId="1A9BA990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701, parágrafo 2º, do CNCGFE/SC.</w:t>
            </w:r>
          </w:p>
          <w:p w14:paraId="60C4AFEF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Devemos verificar se o título ou a matrícula contêm elementos que indiquem a existência de uma edificação ainda não averbada. Este procedimento é necessário, uma vez que a averbação da edificação é um requisito indispensável para registro do título. Se a edificação em questão não possuir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habite-se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ou, mesmo que possua, sua averbação não for possível devido à dependência de outro procedimento, como usucapião, unificação, desmembramento, etc., um dos outorgados no negócio jurídico pode declarar tal circunstância e requerer a cindibilidade do título. Mediante o pedido de cindibilidade, devemos proceder ao registro do título e à averbação para informar sobre a necessidade de regularização da situação da edificação. </w:t>
            </w:r>
          </w:p>
          <w:p w14:paraId="749E4D9F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798 do CNCGFE/SC.</w:t>
            </w:r>
          </w:p>
        </w:tc>
        <w:tc>
          <w:tcPr>
            <w:tcW w:w="602" w:type="dxa"/>
          </w:tcPr>
          <w:p w14:paraId="7814B8E1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4E059423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CE6" w14:paraId="14D3FC88" w14:textId="77777777">
        <w:tc>
          <w:tcPr>
            <w:tcW w:w="449" w:type="dxa"/>
          </w:tcPr>
          <w:p w14:paraId="6CB087D8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40" w:type="dxa"/>
          </w:tcPr>
          <w:p w14:paraId="4B58488D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Sobre os imóveis incide algum ônus ou ação judicial?</w:t>
            </w:r>
          </w:p>
          <w:p w14:paraId="14E43665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conste algum ônus ou ação não impeditivo de alienação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hipoteca e penhora comuns, servidão, etc.), os adquirentes devem declarar ciência.</w:t>
            </w:r>
          </w:p>
          <w:p w14:paraId="12078D1F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1º da LRP e artigo 1º da Lei 8.935/1994.</w:t>
            </w:r>
          </w:p>
          <w:p w14:paraId="46BD9C3A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conste algum ônus ou ação impeditivo de alienação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alienação fiduciária, hipoteca cedular, hipoteca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em favor do SFH, penhora da União Federal ou de suas autarquias e fundações, promessa de alienação em favor de terceiro, indisponibilidade, etc.), o interessado pode promover o cancelamento do gravame ou apresentar uma autorização do instituidor, quando possível.</w:t>
            </w:r>
          </w:p>
          <w:p w14:paraId="731F3F39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22 da Lei 9.514/1997 e artigo 1.368-B do CC (alienação fiduciária); artigo 59 do Decreto-Lei 167/1967, artigo 51 do Decreto-Lei 413/1969, artigo 3º da Lei 6.313/1975, artigo 5º da Lei 6.840/1980 e artigos 30 e 34, parágrafo 2º da Lei 10.931/2004 (hipotecas cedulares); artigo 1º, parágrafo único da Lei 8.004/1990 e artigo 292 da LRP (hipoteca do SFH); artigo 53, parágrafo 1º da Lei 8.212/1991 (penhora da União e suas autarquias e fundações); artigos 1.417 e 1.418 do CC (promessa de compra e venda);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Provimento 39/2014 do CNJ (indisponibilidade). </w:t>
            </w:r>
          </w:p>
        </w:tc>
        <w:tc>
          <w:tcPr>
            <w:tcW w:w="602" w:type="dxa"/>
          </w:tcPr>
          <w:p w14:paraId="10C96BF7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1A3F98C2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CE6" w14:paraId="3477C616" w14:textId="77777777">
        <w:tc>
          <w:tcPr>
            <w:tcW w:w="449" w:type="dxa"/>
          </w:tcPr>
          <w:p w14:paraId="238BADC6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040" w:type="dxa"/>
          </w:tcPr>
          <w:p w14:paraId="40963988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apresentada uma Cédula de Crédito Imobiliário (CCI) vinculada à operação?</w:t>
            </w:r>
          </w:p>
          <w:p w14:paraId="5E29DD83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tenha sido apresentada, devemos conferir se a CCI contém todos os requisitos para a averbação de sua emissão, quais sejam: (a) a denominação "Cédula de Crédito Imobiliário"; (b) o nome, a qualificação e o endereço do credor e do devedor e, no caso de emissão escritural, também o do custodiante; (c) a identificação do imóvel objeto do crédito imobiliário, com a indicação da respectiva matrícula e do registro da constituição da garantia; (d) a modalidade da garantia; (e) o número e a série da cédula;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f) o valor do crédito que representa; (g) a condição de integral ou fracionária e, nessa última hipótese, também a indicação da fração que representa; (h) o prazo, a data de vencimento, o valor da prestação total, nela incluídas as parcelas de amortização e juros, as taxas, seguros e demais encargos contratuais de responsabilidade do devedor, a forma de reajuste e o valor das multas previstas contratualmente, com a indicação do local de pagamento; (i) o local e a data da emissão; (j) a assinatura do credor,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quando emitida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cartularmente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 e (k) a cláusula à ordem, se endossável.</w:t>
            </w:r>
          </w:p>
          <w:p w14:paraId="0723D2E5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19 da Lei 10.931/2004.</w:t>
            </w:r>
          </w:p>
          <w:p w14:paraId="045E48AD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Devemos conferir, ainda, se sobre as matrículas objetos da garantia encontram-se inscritos ou prenotados outros ônus reais ou gravames judiciais. Em caso positivo, em regra, fica vedada a averbação de emissão da CCI nas matrículas.</w:t>
            </w:r>
          </w:p>
          <w:p w14:paraId="3016D224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25 da Lei 10.931/2004.</w:t>
            </w:r>
          </w:p>
          <w:p w14:paraId="768878E1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a CCI contenha todos os requisitos e não se enquadre nas hipóteses de vedação mencionada acima, devemos averbar a emissão da CCI nas matrículas dos imóveis objetos da garantia, constando na averbação o número e a série da CCI e a identificação da entidade custodiante.</w:t>
            </w:r>
          </w:p>
          <w:p w14:paraId="6C924CB7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18, parágrafo 5º da Lei 10.931/2004.</w:t>
            </w:r>
          </w:p>
          <w:p w14:paraId="439607C9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solicitados, concomitantemente, o registro da garantia real e a averbação da emissão da CCI, não serão devidos custos para a averbação da CCI.</w:t>
            </w:r>
          </w:p>
          <w:p w14:paraId="6DB574DF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18, parágrafo 6º da Lei 10.931/2004.</w:t>
            </w:r>
          </w:p>
        </w:tc>
        <w:tc>
          <w:tcPr>
            <w:tcW w:w="602" w:type="dxa"/>
          </w:tcPr>
          <w:p w14:paraId="65517A75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01D3C6A1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CE6" w14:paraId="6E9C7086" w14:textId="77777777">
        <w:tc>
          <w:tcPr>
            <w:tcW w:w="449" w:type="dxa"/>
          </w:tcPr>
          <w:p w14:paraId="71F70B4A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40" w:type="dxa"/>
          </w:tcPr>
          <w:p w14:paraId="2D7909CC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 w14:paraId="1779B0F4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14 da LRP e artigo 4º da Lei Complementar 755/2019.</w:t>
            </w:r>
          </w:p>
          <w:p w14:paraId="32862BF3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 w14:paraId="6050E2AA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 w14:paraId="1A148859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emolumentos serão de:</w:t>
            </w:r>
          </w:p>
          <w:p w14:paraId="20BF8A16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Registro (com valor) - Hipoteca ou Alienação Fiduciária - Livro 2/RG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Serão devidos os emolumentos correspondentes aos valores constantes no item 2.2 da Tabela III da Lei Complementar 755/2019, atualizada e publicizada por meio da Circular 355/2023 da CGFE/SC.</w:t>
            </w:r>
          </w:p>
          <w:p w14:paraId="6F2139F8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Base de Cálculo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 base de cálculo será o negócio jurídico, limitada ao valor do imóvel.</w:t>
            </w:r>
          </w:p>
          <w:p w14:paraId="68B9BFF9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67 da Lei Complementar 755/2019.</w:t>
            </w:r>
          </w:p>
          <w:p w14:paraId="3906AE6A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Unidades Acessórias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Nos registros de negócio jurídico, com as mesmas partes e que envolvam unidades autônomas principais (apartamento, sala, loja, etc.) e unidades autônomas “acessórias” (vaga, hobby-box, etc.) devem ser cobrados emolumentos integrais pelo imóvel de maior valor e 2/3 (redução de 1/3) dos emolumentos previstos na tabela para as unidades autônomas “acessórias”.</w:t>
            </w:r>
          </w:p>
          <w:p w14:paraId="505DF51E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66 da Lei Complementar 755/2019.</w:t>
            </w:r>
          </w:p>
          <w:p w14:paraId="3F916D38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CCB para Crédito Rural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Quando for utilizada uma cédula de crédito bancário para operações de crédito rural devemos aplicar o procedimento de cobrança de emolumentos previsto para as cédulas de crédito rural.</w:t>
            </w:r>
          </w:p>
          <w:p w14:paraId="4917D7B5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42-B da Lei 10.931/2004, artigo 75 da Lei Complementar 755/2019 e Circular 141/2021 da CGJ/SC.</w:t>
            </w:r>
          </w:p>
          <w:p w14:paraId="32BB16D8" w14:textId="62CA940D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 w14:paraId="4E681903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 w14:paraId="0A9458F1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FRJ incidirá à razão de 22,73% sobre o valor dos emolumentos.</w:t>
            </w:r>
          </w:p>
          <w:p w14:paraId="7824C8A6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3º-A da Lei 8.067/1990.</w:t>
            </w:r>
          </w:p>
          <w:p w14:paraId="363283DD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ISS incidirá à razão de 5% sobre o valor dos emolumentos.</w:t>
            </w:r>
          </w:p>
          <w:p w14:paraId="3D0B89A8" w14:textId="77777777" w:rsidR="008432E2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2E2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 do ISS: artigo 36 da Lei Municipal 3003/2011.</w:t>
            </w:r>
          </w:p>
          <w:p w14:paraId="603CEF98" w14:textId="764480BB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02" w:type="dxa"/>
          </w:tcPr>
          <w:p w14:paraId="1CC07376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1E1A3628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CE6" w14:paraId="00CB7843" w14:textId="77777777">
        <w:tc>
          <w:tcPr>
            <w:tcW w:w="449" w:type="dxa"/>
          </w:tcPr>
          <w:p w14:paraId="0295B646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40" w:type="dxa"/>
          </w:tcPr>
          <w:p w14:paraId="447E5CFE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título foi qualificado negativamente?</w:t>
            </w:r>
          </w:p>
          <w:p w14:paraId="3EC253A4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 conferência dos documentos deve ser exaustiva e a nota de exigência formulada com a exposição clara 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objetiva dos fundamentos da recusa.</w:t>
            </w:r>
          </w:p>
          <w:p w14:paraId="400FA37A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 w14:paraId="32FF648D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 w14:paraId="0AC137EA" w14:textId="77777777" w:rsidR="00113CE6" w:rsidRDefault="008432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02" w:type="dxa"/>
          </w:tcPr>
          <w:p w14:paraId="318AB272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30ECA039" w14:textId="77777777" w:rsidR="00113CE6" w:rsidRDefault="00113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8D155BE" w14:textId="77777777" w:rsidR="00113CE6" w:rsidRDefault="00113C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1D324BB" w14:textId="77777777" w:rsidR="00113CE6" w:rsidRDefault="008432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 w14:paraId="0C34DC96" w14:textId="77777777" w:rsidR="00113CE6" w:rsidRDefault="00113CE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FF1CA0" w14:textId="77777777" w:rsidR="00113CE6" w:rsidRDefault="008432E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Conferência inicial</w:t>
      </w:r>
      <w:r>
        <w:rPr>
          <w:rFonts w:ascii="Times New Roman" w:eastAsia="Times New Roman" w:hAnsi="Times New Roman" w:cs="Times New Roman"/>
          <w:sz w:val="20"/>
          <w:szCs w:val="20"/>
        </w:rPr>
        <w:t>: Data: ____/____/_____. Nome: _____________________. Assinatura: ____________________</w:t>
      </w:r>
    </w:p>
    <w:sectPr w:rsidR="00113CE6">
      <w:pgSz w:w="11906" w:h="16838"/>
      <w:pgMar w:top="568" w:right="567" w:bottom="709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CE6"/>
    <w:rsid w:val="00113CE6"/>
    <w:rsid w:val="0084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2CB5"/>
  <w15:docId w15:val="{7F4E6BC4-A2ED-4B31-A505-1F598B98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4190</Words>
  <Characters>22630</Characters>
  <Application>Microsoft Office Word</Application>
  <DocSecurity>0</DocSecurity>
  <Lines>188</Lines>
  <Paragraphs>53</Paragraphs>
  <ScaleCrop>false</ScaleCrop>
  <Company/>
  <LinksUpToDate>false</LinksUpToDate>
  <CharactersWithSpaces>26767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daniella.scheeffer</dc:creator>
  <cp:lastModifiedBy>Daniella Scheeffer</cp:lastModifiedBy>
  <cp:revision>2</cp:revision>
  <dcterms:created xsi:type="dcterms:W3CDTF">2024-04-27T01:18:00Z</dcterms:created>
  <dcterms:modified xsi:type="dcterms:W3CDTF">2024-04-27T01:18:00Z</dcterms:modified>
</cp:coreProperties>
</file>