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1BE725" w14:textId="77777777" w:rsidR="00CC1343" w:rsidRDefault="00CC1343">
      <w:pPr>
        <w:spacing w:after="0"/>
        <w:rPr>
          <w:rFonts w:ascii="Times New Roman" w:eastAsia="Times New Roman" w:hAnsi="Times New Roman" w:cs="Times New Roman"/>
          <w:b/>
          <w:sz w:val="20"/>
          <w:szCs w:val="20"/>
        </w:rPr>
      </w:pPr>
      <w:r>
        <w:rPr>
          <w:noProof/>
        </w:rPr>
        <w:drawing>
          <wp:inline distT="0" distB="0" distL="0" distR="0" wp14:anchorId="24B334F1" wp14:editId="0A02BE19">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615B8082" w14:textId="26436F91" w:rsidR="00B87D3D" w:rsidRDefault="00CC134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w:t>
      </w:r>
      <w:proofErr w:type="gramStart"/>
      <w:r>
        <w:rPr>
          <w:rFonts w:ascii="Times New Roman" w:eastAsia="Times New Roman" w:hAnsi="Times New Roman" w:cs="Times New Roman"/>
          <w:b/>
          <w:sz w:val="20"/>
          <w:szCs w:val="20"/>
        </w:rPr>
        <w:t>_  MATRÍCULA</w:t>
      </w:r>
      <w:proofErr w:type="gramEnd"/>
      <w:r>
        <w:rPr>
          <w:rFonts w:ascii="Times New Roman" w:eastAsia="Times New Roman" w:hAnsi="Times New Roman" w:cs="Times New Roman"/>
          <w:b/>
          <w:sz w:val="20"/>
          <w:szCs w:val="20"/>
        </w:rPr>
        <w:t>(S): __________________________________________</w:t>
      </w:r>
    </w:p>
    <w:p w14:paraId="0E5DD67E" w14:textId="77777777" w:rsidR="00B87D3D" w:rsidRDefault="00B87D3D">
      <w:pPr>
        <w:spacing w:after="0"/>
        <w:rPr>
          <w:rFonts w:ascii="Times New Roman" w:eastAsia="Times New Roman" w:hAnsi="Times New Roman" w:cs="Times New Roman"/>
          <w:sz w:val="20"/>
          <w:szCs w:val="20"/>
          <w:u w:val="single"/>
        </w:rPr>
      </w:pPr>
    </w:p>
    <w:p w14:paraId="40FA5C64" w14:textId="77777777" w:rsidR="00B87D3D" w:rsidRDefault="00CC1343">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CESSÃO DOS DIREITOS DO COMPROMISSO DE COMPRA E VENDA OU DE PERM</w:t>
      </w:r>
      <w:r>
        <w:rPr>
          <w:rFonts w:ascii="Times New Roman" w:eastAsia="Times New Roman" w:hAnsi="Times New Roman" w:cs="Times New Roman"/>
          <w:b/>
          <w:sz w:val="24"/>
          <w:szCs w:val="24"/>
          <w:u w:val="single"/>
        </w:rPr>
        <w:t>UTA</w:t>
      </w:r>
    </w:p>
    <w:p w14:paraId="5FB74024" w14:textId="77777777" w:rsidR="00B87D3D" w:rsidRDefault="00B87D3D">
      <w:pPr>
        <w:spacing w:after="0"/>
        <w:jc w:val="left"/>
        <w:rPr>
          <w:rFonts w:ascii="Times New Roman" w:eastAsia="Times New Roman" w:hAnsi="Times New Roman" w:cs="Times New Roman"/>
          <w:sz w:val="20"/>
          <w:szCs w:val="20"/>
          <w:u w:val="single"/>
        </w:rPr>
      </w:pPr>
    </w:p>
    <w:tbl>
      <w:tblPr>
        <w:tblStyle w:val="a"/>
        <w:tblW w:w="10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9040"/>
        <w:gridCol w:w="602"/>
        <w:gridCol w:w="613"/>
      </w:tblGrid>
      <w:tr w:rsidR="00B87D3D" w14:paraId="500CBC57" w14:textId="77777777">
        <w:tc>
          <w:tcPr>
            <w:tcW w:w="449" w:type="dxa"/>
          </w:tcPr>
          <w:p w14:paraId="1424A0CA" w14:textId="77777777" w:rsidR="00B87D3D" w:rsidRDefault="00B87D3D">
            <w:pPr>
              <w:spacing w:after="0"/>
              <w:jc w:val="both"/>
              <w:rPr>
                <w:rFonts w:ascii="Times New Roman" w:eastAsia="Times New Roman" w:hAnsi="Times New Roman" w:cs="Times New Roman"/>
                <w:sz w:val="20"/>
                <w:szCs w:val="20"/>
              </w:rPr>
            </w:pPr>
          </w:p>
        </w:tc>
        <w:tc>
          <w:tcPr>
            <w:tcW w:w="9040" w:type="dxa"/>
          </w:tcPr>
          <w:p w14:paraId="5C391496" w14:textId="77777777" w:rsidR="00B87D3D" w:rsidRDefault="00B87D3D">
            <w:pPr>
              <w:spacing w:after="0"/>
              <w:jc w:val="both"/>
              <w:rPr>
                <w:rFonts w:ascii="Times New Roman" w:eastAsia="Times New Roman" w:hAnsi="Times New Roman" w:cs="Times New Roman"/>
                <w:sz w:val="20"/>
                <w:szCs w:val="20"/>
              </w:rPr>
            </w:pPr>
          </w:p>
        </w:tc>
        <w:tc>
          <w:tcPr>
            <w:tcW w:w="602" w:type="dxa"/>
          </w:tcPr>
          <w:p w14:paraId="14D7A8F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13" w:type="dxa"/>
          </w:tcPr>
          <w:p w14:paraId="3079E9D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B87D3D" w14:paraId="4F89E55D" w14:textId="77777777">
        <w:tc>
          <w:tcPr>
            <w:tcW w:w="449" w:type="dxa"/>
          </w:tcPr>
          <w:p w14:paraId="13A22A47" w14:textId="77777777" w:rsidR="00B87D3D" w:rsidRDefault="00CC1343">
            <w:pPr>
              <w:spacing w:after="0"/>
              <w:jc w:val="both"/>
              <w:rPr>
                <w:rFonts w:ascii="Times New Roman" w:eastAsia="Times New Roman" w:hAnsi="Times New Roman" w:cs="Times New Roman"/>
                <w:sz w:val="20"/>
                <w:szCs w:val="20"/>
              </w:rPr>
            </w:pPr>
            <w:bookmarkStart w:id="0" w:name="gjdgxs" w:colFirst="0" w:colLast="0"/>
            <w:bookmarkEnd w:id="0"/>
            <w:r>
              <w:rPr>
                <w:rFonts w:ascii="Times New Roman" w:eastAsia="Times New Roman" w:hAnsi="Times New Roman" w:cs="Times New Roman"/>
                <w:sz w:val="20"/>
                <w:szCs w:val="20"/>
              </w:rPr>
              <w:t>1</w:t>
            </w:r>
          </w:p>
        </w:tc>
        <w:tc>
          <w:tcPr>
            <w:tcW w:w="9040" w:type="dxa"/>
          </w:tcPr>
          <w:p w14:paraId="4F3CA302"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título?</w:t>
            </w:r>
          </w:p>
          <w:p w14:paraId="64466CE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7CCD9AD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76B9DC4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título e as matrículas prenotadas no sistema, devemos corrigir a prenotação e anotar a correção manuscritamente no protocolo.</w:t>
            </w:r>
          </w:p>
          <w:p w14:paraId="53459126"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 Lei de Registros Públicos - LRP.</w:t>
            </w:r>
          </w:p>
        </w:tc>
        <w:tc>
          <w:tcPr>
            <w:tcW w:w="602" w:type="dxa"/>
          </w:tcPr>
          <w:p w14:paraId="2EDE3F8A"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1F3857B8" w14:textId="77777777" w:rsidR="00B87D3D" w:rsidRDefault="00B87D3D">
            <w:pPr>
              <w:spacing w:after="0"/>
              <w:jc w:val="both"/>
              <w:rPr>
                <w:rFonts w:ascii="Times New Roman" w:eastAsia="Times New Roman" w:hAnsi="Times New Roman" w:cs="Times New Roman"/>
                <w:sz w:val="20"/>
                <w:szCs w:val="20"/>
              </w:rPr>
            </w:pPr>
          </w:p>
        </w:tc>
      </w:tr>
      <w:tr w:rsidR="00B87D3D" w14:paraId="71310168" w14:textId="77777777">
        <w:tc>
          <w:tcPr>
            <w:tcW w:w="449" w:type="dxa"/>
          </w:tcPr>
          <w:p w14:paraId="7831117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40" w:type="dxa"/>
          </w:tcPr>
          <w:p w14:paraId="0D78565B"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título hábil para inscrição?</w:t>
            </w:r>
          </w:p>
          <w:p w14:paraId="5C959D3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físico, deve ser apresentado na via original, assinado pelas partes, com os respectivos reconhecimentos de firma.</w:t>
            </w:r>
          </w:p>
          <w:p w14:paraId="72BD8E70"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w:t>
            </w:r>
          </w:p>
          <w:p w14:paraId="6D0E4CC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Devemos conferir a autenticidade dos reconhecimentos de firma por meio de consulta ao selo de fiscalização.</w:t>
            </w:r>
          </w:p>
          <w:p w14:paraId="58A381D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308 do Código de Normas da Corregedoria-Geral do Foro Extrajudicial do Tribunal de Justiça do Estado de Santa Catarina - CNCGFE/SC. </w:t>
            </w:r>
          </w:p>
          <w:p w14:paraId="13BA284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título seja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w:t>
            </w:r>
          </w:p>
          <w:p w14:paraId="67A8AEB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762 do CNCGFE/SC.</w:t>
            </w:r>
          </w:p>
        </w:tc>
        <w:tc>
          <w:tcPr>
            <w:tcW w:w="602" w:type="dxa"/>
          </w:tcPr>
          <w:p w14:paraId="4D44A5A2"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5D93264B" w14:textId="77777777" w:rsidR="00B87D3D" w:rsidRDefault="00B87D3D">
            <w:pPr>
              <w:spacing w:after="0"/>
              <w:jc w:val="both"/>
              <w:rPr>
                <w:rFonts w:ascii="Times New Roman" w:eastAsia="Times New Roman" w:hAnsi="Times New Roman" w:cs="Times New Roman"/>
                <w:sz w:val="20"/>
                <w:szCs w:val="20"/>
              </w:rPr>
            </w:pPr>
          </w:p>
        </w:tc>
      </w:tr>
      <w:tr w:rsidR="00B87D3D" w14:paraId="7A9E676D" w14:textId="77777777">
        <w:tc>
          <w:tcPr>
            <w:tcW w:w="449" w:type="dxa"/>
          </w:tcPr>
          <w:p w14:paraId="000FDDC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40" w:type="dxa"/>
          </w:tcPr>
          <w:p w14:paraId="7BBC03D1"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contrato contém a qualificação dos transmitentes?</w:t>
            </w:r>
          </w:p>
          <w:p w14:paraId="76EB51A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estado civil, CPF e endereço.</w:t>
            </w:r>
          </w:p>
          <w:p w14:paraId="3CA93EE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de uma pessoa jurídica são: denominação social, CNPJ, sede e representantes.</w:t>
            </w:r>
          </w:p>
          <w:p w14:paraId="43DFE54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os transmitentes forem casados por um regime diverso do legal deve constar na escritura o registro do pacto antenupcial. </w:t>
            </w:r>
          </w:p>
          <w:p w14:paraId="7F6BFD8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476 do CNCGJ/SC.</w:t>
            </w:r>
          </w:p>
          <w:p w14:paraId="6CEA265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os transmitentes forem pessoas físicas casadas, é necessária a autorização do outro cônjuge para alienar bens imóveis, salvo se for adotado o regime da separação de bens ou se, adotado o regime da participação final nos aquestos, houver estipulação expressa no pacto antenupcial sobre a livre disposição dos bens.</w:t>
            </w:r>
          </w:p>
          <w:p w14:paraId="6DCDD30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1.647, inciso I, 1.656 e 1.687 do Código Civil - CC.</w:t>
            </w:r>
          </w:p>
        </w:tc>
        <w:tc>
          <w:tcPr>
            <w:tcW w:w="602" w:type="dxa"/>
          </w:tcPr>
          <w:p w14:paraId="0C24FA3A"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01A03859" w14:textId="77777777" w:rsidR="00B87D3D" w:rsidRDefault="00B87D3D">
            <w:pPr>
              <w:spacing w:after="0"/>
              <w:jc w:val="both"/>
              <w:rPr>
                <w:rFonts w:ascii="Times New Roman" w:eastAsia="Times New Roman" w:hAnsi="Times New Roman" w:cs="Times New Roman"/>
                <w:sz w:val="20"/>
                <w:szCs w:val="20"/>
              </w:rPr>
            </w:pPr>
          </w:p>
        </w:tc>
      </w:tr>
      <w:tr w:rsidR="00B87D3D" w14:paraId="2BF7BE87" w14:textId="77777777">
        <w:tc>
          <w:tcPr>
            <w:tcW w:w="449" w:type="dxa"/>
          </w:tcPr>
          <w:p w14:paraId="29F2AA2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40" w:type="dxa"/>
          </w:tcPr>
          <w:p w14:paraId="5D773CD0"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os transmitentes sejam pessoas físicas não casadas (solteiro, separado, divorciado ou viúvo), consta na escritura a declaração de união estável?</w:t>
            </w:r>
          </w:p>
          <w:p w14:paraId="4264E7C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conviva em união estável deve constar a qualificação completa do companheiro e o regime de bens que vigora na união estável.</w:t>
            </w:r>
          </w:p>
          <w:p w14:paraId="341DA76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declaração, quando negativa, deve constar expressamente no contrato.</w:t>
            </w:r>
          </w:p>
          <w:p w14:paraId="70ACAF0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não pactuado regime de bens na união estável, vigora entre os companheiros o regime da comunhão parcial de bens, motivo pelo qual o companheiro deve figurar no contrato como interveniente anuente.</w:t>
            </w:r>
          </w:p>
          <w:p w14:paraId="2BC4773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pactuado o regime da comunhão universal de bens na união estável, o companheiro deve figurar no contrato como transmitente.</w:t>
            </w:r>
          </w:p>
          <w:p w14:paraId="2B1F403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pactuado o regime da separação de bens na união estável, o companheiro não precisa assinar o contrato como interveniente anuente. </w:t>
            </w:r>
          </w:p>
          <w:p w14:paraId="68EE7A41" w14:textId="77777777" w:rsidR="00B87D3D" w:rsidRDefault="00CC1343">
            <w:pPr>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Provimento 6/2003 da Corregedoria-Geral de Justiça de Santa Catarina - CGJ/SC e artigo 1.647, inciso II do CC.</w:t>
            </w:r>
          </w:p>
          <w:p w14:paraId="1FD5036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os transmitentes declararem conviver em união estável e essa informação não constar na matrícula do imóvel (aquisição anterior), é necessário averbar a união estável antes do registro do contrato.</w:t>
            </w:r>
          </w:p>
          <w:p w14:paraId="49EF6C1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na matrícula do imóvel (aquisição anterior) constar a existência de união estável e no contrato os transmitentes declararem não conviver, é necessário averbar a dissolução da união estável.</w:t>
            </w:r>
          </w:p>
          <w:p w14:paraId="01119B20"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02" w:type="dxa"/>
          </w:tcPr>
          <w:p w14:paraId="1B78D107"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04F7A814" w14:textId="77777777" w:rsidR="00B87D3D" w:rsidRDefault="00B87D3D">
            <w:pPr>
              <w:spacing w:after="0"/>
              <w:jc w:val="both"/>
              <w:rPr>
                <w:rFonts w:ascii="Times New Roman" w:eastAsia="Times New Roman" w:hAnsi="Times New Roman" w:cs="Times New Roman"/>
                <w:sz w:val="20"/>
                <w:szCs w:val="20"/>
              </w:rPr>
            </w:pPr>
          </w:p>
        </w:tc>
      </w:tr>
      <w:tr w:rsidR="00B87D3D" w14:paraId="3B91A0C0" w14:textId="77777777">
        <w:tc>
          <w:tcPr>
            <w:tcW w:w="449" w:type="dxa"/>
          </w:tcPr>
          <w:p w14:paraId="5A55062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40" w:type="dxa"/>
          </w:tcPr>
          <w:p w14:paraId="0ADA5589"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averbação referente à qualificação do(s) transmitente(s) (retificação de dados de qualificação, casamento, separação, divórcio, alteração da razão social, dissolução de união estável, etc.)?</w:t>
            </w:r>
          </w:p>
          <w:p w14:paraId="7510238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necessário, devem ser apresentados o requerimento e o documento hábil em protocolo separado.</w:t>
            </w:r>
          </w:p>
          <w:p w14:paraId="072F420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artigos 167, inciso II e 176, parágrafo 1º, inciso II, item 4, inciso III, item 2 e 213, inciso I, alínea </w:t>
            </w:r>
            <w:r>
              <w:rPr>
                <w:rFonts w:ascii="Times New Roman" w:eastAsia="Times New Roman" w:hAnsi="Times New Roman" w:cs="Times New Roman"/>
                <w:sz w:val="20"/>
                <w:szCs w:val="20"/>
              </w:rPr>
              <w:lastRenderedPageBreak/>
              <w:t>“g” da LRP.</w:t>
            </w:r>
          </w:p>
          <w:p w14:paraId="3B045CC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14:paraId="3169445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706, parágrafo 6º, 713, parágrafos 8º e 9º, do CN/CG-Extra.</w:t>
            </w:r>
          </w:p>
        </w:tc>
        <w:tc>
          <w:tcPr>
            <w:tcW w:w="602" w:type="dxa"/>
          </w:tcPr>
          <w:p w14:paraId="2E70BBD1"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35E20975" w14:textId="77777777" w:rsidR="00B87D3D" w:rsidRDefault="00B87D3D">
            <w:pPr>
              <w:spacing w:after="0"/>
              <w:jc w:val="both"/>
              <w:rPr>
                <w:rFonts w:ascii="Times New Roman" w:eastAsia="Times New Roman" w:hAnsi="Times New Roman" w:cs="Times New Roman"/>
                <w:sz w:val="20"/>
                <w:szCs w:val="20"/>
              </w:rPr>
            </w:pPr>
          </w:p>
        </w:tc>
      </w:tr>
      <w:tr w:rsidR="00B87D3D" w14:paraId="1C0D1858" w14:textId="77777777">
        <w:tc>
          <w:tcPr>
            <w:tcW w:w="449" w:type="dxa"/>
          </w:tcPr>
          <w:p w14:paraId="5CD0B80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40" w:type="dxa"/>
          </w:tcPr>
          <w:p w14:paraId="4E308297"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 os transmitentes forem pessoas físicas, foram apresentadas as certidões de registro civil (nascimento ou casamento)?</w:t>
            </w:r>
          </w:p>
          <w:p w14:paraId="360EAE7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certidão deve ser atualizada, emitida até 90 dias antes da data de assinatura do contrato.</w:t>
            </w:r>
          </w:p>
          <w:p w14:paraId="6C484D1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certidão pode ser apresentada na via original ou em cópia autenticada.</w:t>
            </w:r>
          </w:p>
          <w:p w14:paraId="2CC181B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297, 706, § 3º, 794 e 815 do CN/GJ-Extra.</w:t>
            </w:r>
          </w:p>
        </w:tc>
        <w:tc>
          <w:tcPr>
            <w:tcW w:w="602" w:type="dxa"/>
          </w:tcPr>
          <w:p w14:paraId="1699D266"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26295E22" w14:textId="77777777" w:rsidR="00B87D3D" w:rsidRDefault="00B87D3D">
            <w:pPr>
              <w:spacing w:after="0"/>
              <w:jc w:val="both"/>
              <w:rPr>
                <w:rFonts w:ascii="Times New Roman" w:eastAsia="Times New Roman" w:hAnsi="Times New Roman" w:cs="Times New Roman"/>
                <w:sz w:val="20"/>
                <w:szCs w:val="20"/>
              </w:rPr>
            </w:pPr>
          </w:p>
        </w:tc>
      </w:tr>
      <w:tr w:rsidR="00B87D3D" w14:paraId="7E776BF1" w14:textId="77777777">
        <w:tc>
          <w:tcPr>
            <w:tcW w:w="449" w:type="dxa"/>
          </w:tcPr>
          <w:p w14:paraId="3D6BA13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40" w:type="dxa"/>
          </w:tcPr>
          <w:p w14:paraId="65148C20"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apresentada a certidão negativa de débitos federais relativa ao outorgante?</w:t>
            </w:r>
          </w:p>
          <w:p w14:paraId="60509CF6"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14:paraId="0FA27471"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w:t>
            </w:r>
            <w:r>
              <w:rPr>
                <w:rFonts w:ascii="Times New Roman" w:eastAsia="Times New Roman" w:hAnsi="Times New Roman" w:cs="Times New Roman"/>
                <w:sz w:val="20"/>
                <w:szCs w:val="20"/>
              </w:rPr>
              <w:t>ntanto que os imóveis objetos da transação estejam contabilmente lançados no seu ativo circulante e não tenham constado, em seu ativo permanente.</w:t>
            </w:r>
          </w:p>
          <w:p w14:paraId="6659DC2E"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47, inciso I, alínea “b” da Lei 8.212/1991, artigo 680, parágrafo único, do CN/CG-Extra e artigos 1º e 17 da Portaria Conjunta RFB-PGFN 1.751/2014.</w:t>
            </w:r>
          </w:p>
          <w:p w14:paraId="2060B558"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3919A246"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 parágrafos 1º e 2º, da LRP, artigo 4º, incisos II e III, c/c artigo 5º, parágrafo 2º, inciso IV, da Lei 14.063/2020, artigo 762 do CN/CG-Extra.</w:t>
            </w:r>
          </w:p>
        </w:tc>
        <w:tc>
          <w:tcPr>
            <w:tcW w:w="602" w:type="dxa"/>
          </w:tcPr>
          <w:p w14:paraId="27731ED7"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0672D58E" w14:textId="77777777" w:rsidR="00B87D3D" w:rsidRDefault="00B87D3D">
            <w:pPr>
              <w:spacing w:after="0"/>
              <w:jc w:val="both"/>
              <w:rPr>
                <w:rFonts w:ascii="Times New Roman" w:eastAsia="Times New Roman" w:hAnsi="Times New Roman" w:cs="Times New Roman"/>
                <w:sz w:val="20"/>
                <w:szCs w:val="20"/>
              </w:rPr>
            </w:pPr>
          </w:p>
        </w:tc>
      </w:tr>
      <w:tr w:rsidR="00B87D3D" w14:paraId="11210135" w14:textId="77777777">
        <w:tc>
          <w:tcPr>
            <w:tcW w:w="449" w:type="dxa"/>
          </w:tcPr>
          <w:p w14:paraId="4675081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40" w:type="dxa"/>
          </w:tcPr>
          <w:p w14:paraId="12C35669"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contrato contém a qualificação dos adquirentes?</w:t>
            </w:r>
          </w:p>
          <w:p w14:paraId="6AD6B2A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estado civil, CPF e endereço.</w:t>
            </w:r>
          </w:p>
          <w:p w14:paraId="499015C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de uma pessoa jurídica são: denominação social, CNPJ e sede.</w:t>
            </w:r>
          </w:p>
          <w:p w14:paraId="379FF87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476 do CNCGJ/SC.</w:t>
            </w:r>
          </w:p>
          <w:p w14:paraId="0F0BB52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14:paraId="4F31CE1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CN/CG-Extra.</w:t>
            </w:r>
          </w:p>
        </w:tc>
        <w:tc>
          <w:tcPr>
            <w:tcW w:w="602" w:type="dxa"/>
          </w:tcPr>
          <w:p w14:paraId="44BD4823"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2C854E7E" w14:textId="77777777" w:rsidR="00B87D3D" w:rsidRDefault="00B87D3D">
            <w:pPr>
              <w:spacing w:after="0"/>
              <w:jc w:val="both"/>
              <w:rPr>
                <w:rFonts w:ascii="Times New Roman" w:eastAsia="Times New Roman" w:hAnsi="Times New Roman" w:cs="Times New Roman"/>
                <w:sz w:val="20"/>
                <w:szCs w:val="20"/>
              </w:rPr>
            </w:pPr>
          </w:p>
        </w:tc>
      </w:tr>
      <w:tr w:rsidR="00B87D3D" w14:paraId="007C288C" w14:textId="77777777">
        <w:tc>
          <w:tcPr>
            <w:tcW w:w="449" w:type="dxa"/>
          </w:tcPr>
          <w:p w14:paraId="3A38020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40" w:type="dxa"/>
          </w:tcPr>
          <w:p w14:paraId="11B2B417"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 alguma das partes for pessoa jurídica, representada no ato por seus administradores, foram apresentados os documentos hábeis a atestar seus poderes?</w:t>
            </w:r>
          </w:p>
          <w:p w14:paraId="0FB39F4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poderes de administração das sociedades empresárias serão comprovados por meio da última alteração contratual consolidada e da certidão simplificada, ambas expedidas pela Junta Comercial.</w:t>
            </w:r>
          </w:p>
          <w:p w14:paraId="78F19D0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 poderes de administração das sociedades despersonificadas serão comprovados por meio de certidões específicas expedidas pelo Ofício de Registro Civil de Pessoas Jurídicas. </w:t>
            </w:r>
          </w:p>
          <w:p w14:paraId="682352D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basta identificar os administradores das pessoas jurídicas, é necessário conferir quais são os poderes e quais administradores devem assinar o título.</w:t>
            </w:r>
          </w:p>
          <w:p w14:paraId="2E2DEED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Verificar se os referidos documentos já estão arquivados na pasta do servidor de arquivos.</w:t>
            </w:r>
          </w:p>
          <w:p w14:paraId="333003F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documentos podem ser apresentados na via original ou em cópia autenticada.</w:t>
            </w:r>
          </w:p>
          <w:p w14:paraId="54162454"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799, 814 e 815 do CNCGFE/SC.</w:t>
            </w:r>
          </w:p>
        </w:tc>
        <w:tc>
          <w:tcPr>
            <w:tcW w:w="602" w:type="dxa"/>
          </w:tcPr>
          <w:p w14:paraId="707C8A6C"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74D73E41" w14:textId="77777777" w:rsidR="00B87D3D" w:rsidRDefault="00B87D3D">
            <w:pPr>
              <w:spacing w:after="0"/>
              <w:jc w:val="both"/>
              <w:rPr>
                <w:rFonts w:ascii="Times New Roman" w:eastAsia="Times New Roman" w:hAnsi="Times New Roman" w:cs="Times New Roman"/>
                <w:sz w:val="20"/>
                <w:szCs w:val="20"/>
              </w:rPr>
            </w:pPr>
          </w:p>
        </w:tc>
      </w:tr>
      <w:tr w:rsidR="00B87D3D" w14:paraId="46E5CD84" w14:textId="77777777">
        <w:tc>
          <w:tcPr>
            <w:tcW w:w="449" w:type="dxa"/>
          </w:tcPr>
          <w:p w14:paraId="362C29C0"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40" w:type="dxa"/>
          </w:tcPr>
          <w:p w14:paraId="574A68A4"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alguma parte esteja representada por procurador, foi apresentada a procuração?</w:t>
            </w:r>
          </w:p>
          <w:p w14:paraId="5C9D423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deve conferir poderes específicos para o ato a ser realizado e a identificação dos imóveis.</w:t>
            </w:r>
          </w:p>
          <w:p w14:paraId="1802A56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661, parágrafo 1º, do CC.</w:t>
            </w:r>
          </w:p>
          <w:p w14:paraId="3891383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pode ser apresentada em instrumento público ou particular, na via original ou em cópia autenticada.</w:t>
            </w:r>
          </w:p>
          <w:p w14:paraId="3625715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procuração seja particular, deve conter o reconhecimento de firma do outorgante, exceto quando outorgada para advogado, hipótese em que o reconhecimento será dispensável.</w:t>
            </w:r>
          </w:p>
          <w:p w14:paraId="557AD42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w:t>
            </w:r>
            <w:r>
              <w:rPr>
                <w:rFonts w:ascii="Times New Roman" w:eastAsia="Times New Roman" w:hAnsi="Times New Roman" w:cs="Times New Roman"/>
                <w:sz w:val="20"/>
                <w:szCs w:val="20"/>
              </w:rPr>
              <w:t xml:space="preserve">pelo interessado.  </w:t>
            </w:r>
          </w:p>
          <w:p w14:paraId="6429AE10"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as procurações públicas lavradas em outros Estados da Federação, devemos realizar o procedimento de confirmação de autenticidade e eficácia por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w:t>
            </w:r>
          </w:p>
          <w:p w14:paraId="2E078A1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procuração for pública e o procurador investido por meio de substabelecimento, deve ser apresentada toda a cadeia de procurações para conferência da autenticidade e, se for o caso, da eficácia.</w:t>
            </w:r>
          </w:p>
          <w:p w14:paraId="724A160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Fundamento</w:t>
            </w:r>
            <w:r>
              <w:rPr>
                <w:rFonts w:ascii="Times New Roman" w:eastAsia="Times New Roman" w:hAnsi="Times New Roman" w:cs="Times New Roman"/>
                <w:sz w:val="20"/>
                <w:szCs w:val="20"/>
              </w:rPr>
              <w:t>: artigo 308 do CNCGFE/SC.</w:t>
            </w:r>
          </w:p>
          <w:p w14:paraId="1F3C242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autenticidade do ato só é garantida depois do recebimento dos dados pelo Poder Judiciário.</w:t>
            </w:r>
          </w:p>
          <w:p w14:paraId="6143875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355, parágrafo 1º, do CNCGFE/SC.</w:t>
            </w:r>
          </w:p>
          <w:p w14:paraId="76ACF88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14:paraId="64C6B1D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14:paraId="35A1C03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1.018 do CC.</w:t>
            </w:r>
          </w:p>
        </w:tc>
        <w:tc>
          <w:tcPr>
            <w:tcW w:w="602" w:type="dxa"/>
          </w:tcPr>
          <w:p w14:paraId="195753B9"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4633A8F6" w14:textId="77777777" w:rsidR="00B87D3D" w:rsidRDefault="00B87D3D">
            <w:pPr>
              <w:spacing w:after="0"/>
              <w:jc w:val="both"/>
              <w:rPr>
                <w:rFonts w:ascii="Times New Roman" w:eastAsia="Times New Roman" w:hAnsi="Times New Roman" w:cs="Times New Roman"/>
                <w:sz w:val="20"/>
                <w:szCs w:val="20"/>
              </w:rPr>
            </w:pPr>
          </w:p>
        </w:tc>
      </w:tr>
      <w:tr w:rsidR="00B87D3D" w14:paraId="4A19607B" w14:textId="77777777">
        <w:tc>
          <w:tcPr>
            <w:tcW w:w="449" w:type="dxa"/>
          </w:tcPr>
          <w:p w14:paraId="790A2D3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p>
        </w:tc>
        <w:tc>
          <w:tcPr>
            <w:tcW w:w="9040" w:type="dxa"/>
          </w:tcPr>
          <w:p w14:paraId="1675CF9B"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imóveis?</w:t>
            </w:r>
          </w:p>
          <w:p w14:paraId="40AA365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imóveis tenham matrículas próprias, pode ser consignado no título somente a localização completa e o número da matrícula, não havendo necessidade da transcrição completa da descrição.</w:t>
            </w:r>
          </w:p>
          <w:p w14:paraId="5CF46B7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parágrafo 1º, da Lei 7.433/1985 e artigo 222 da LRP.</w:t>
            </w:r>
          </w:p>
          <w:p w14:paraId="27CAD034"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14:paraId="2AA221ED"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e 225 da LRP.</w:t>
            </w:r>
          </w:p>
          <w:p w14:paraId="28FC3C11"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w:t>
            </w:r>
            <w:r>
              <w:rPr>
                <w:rFonts w:ascii="Times New Roman" w:eastAsia="Times New Roman" w:hAnsi="Times New Roman" w:cs="Times New Roman"/>
                <w:sz w:val="20"/>
                <w:szCs w:val="20"/>
              </w:rPr>
              <w:t xml:space="preserve">rever algum ato em que a conferência dos elementos de qualificação do imóvel seja imprescindível, como por exemplo: atingimento do sistema viário, unificação, parcelamento do solo, incorporação imobiliária, instituição de condomínio, etc. </w:t>
            </w:r>
          </w:p>
          <w:p w14:paraId="6F993024"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Decisão proferida em 05/02/2018 no Processo SAE 11278-LAUNSO, pelo Juiz - Diretor do Foro da Comarca da Capital/SC.   </w:t>
            </w:r>
          </w:p>
        </w:tc>
        <w:tc>
          <w:tcPr>
            <w:tcW w:w="602" w:type="dxa"/>
          </w:tcPr>
          <w:p w14:paraId="62D8B85B"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2F256ED3" w14:textId="77777777" w:rsidR="00B87D3D" w:rsidRDefault="00B87D3D">
            <w:pPr>
              <w:spacing w:after="0"/>
              <w:jc w:val="both"/>
              <w:rPr>
                <w:rFonts w:ascii="Times New Roman" w:eastAsia="Times New Roman" w:hAnsi="Times New Roman" w:cs="Times New Roman"/>
                <w:sz w:val="20"/>
                <w:szCs w:val="20"/>
              </w:rPr>
            </w:pPr>
          </w:p>
        </w:tc>
      </w:tr>
      <w:tr w:rsidR="00B87D3D" w14:paraId="4BBFB95F" w14:textId="77777777">
        <w:tc>
          <w:tcPr>
            <w:tcW w:w="449" w:type="dxa"/>
          </w:tcPr>
          <w:p w14:paraId="4A9721A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9040" w:type="dxa"/>
          </w:tcPr>
          <w:p w14:paraId="22F1FA40"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são urbanos?</w:t>
            </w:r>
          </w:p>
          <w:p w14:paraId="381A3E2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14:paraId="61CEE390"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 constar no título ou ser apresentada a Certidão Negativa de Débitos Relativos ao Imposto sobre a Propriedade Territorial Rural (CND-ITR) ou a declaração de dispensa dos adquirentes. </w:t>
            </w:r>
          </w:p>
          <w:p w14:paraId="58FCE82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rural e o objeto da transferência seja parte do imóvel da matrícula, devemos observar os requisitos para parcelamento do solo.</w:t>
            </w:r>
          </w:p>
          <w:p w14:paraId="7962D5AA" w14:textId="77777777" w:rsidR="00B87D3D" w:rsidRDefault="00CC1343">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seja rural e esteja sendo adquirido por pessoa estrangeira, física ou jurídica, devemos observar os requisitos da Lei 5.709/1971. </w:t>
            </w:r>
          </w:p>
          <w:p w14:paraId="5FABCF1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na matrícula a informação de que o imóvel é rural, mas o imóvel não tenha tal destinação, deve ser apresentado, em protocolo separado, ofício de cancelamento do cadastro expedido pelo INCRA.</w:t>
            </w:r>
          </w:p>
          <w:p w14:paraId="5D35B58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14:paraId="70829B2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trate-se de imóvel cadastrado como área de marinha deve constar no título ou ser apresentada a Certidão de Autorização de Transferência (CAT), com menção ao número do Registro Imobiliário Patrimonial (RIP).</w:t>
            </w:r>
          </w:p>
          <w:p w14:paraId="5D879C4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1º e 2º do Decreto-Lei 9.760/1946, artigos 1º e 2º da Lei 9.636/1998 e artigos 3º e 3º-A do Decreto-Lei 2.398/1987.</w:t>
            </w:r>
          </w:p>
          <w:p w14:paraId="36826F8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imóveis de marinha sob o regime de ocupação, com títulos lavrados entre particulares até 10/06/2014, não devemos exigir a apresentação da CAT.</w:t>
            </w:r>
          </w:p>
          <w:p w14:paraId="44FCBEC5"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7º, parágrafo 7º da Lei 9.636/1998 e artigo 8º, parágrafo 4º da Instrução Normativa 01/2018 da Secretaria do Patrimônio da União (SPU). </w:t>
            </w:r>
          </w:p>
        </w:tc>
        <w:tc>
          <w:tcPr>
            <w:tcW w:w="602" w:type="dxa"/>
          </w:tcPr>
          <w:p w14:paraId="2F2F5EAA"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474F6418" w14:textId="77777777" w:rsidR="00B87D3D" w:rsidRDefault="00B87D3D">
            <w:pPr>
              <w:spacing w:after="0"/>
              <w:jc w:val="both"/>
              <w:rPr>
                <w:rFonts w:ascii="Times New Roman" w:eastAsia="Times New Roman" w:hAnsi="Times New Roman" w:cs="Times New Roman"/>
                <w:sz w:val="20"/>
                <w:szCs w:val="20"/>
              </w:rPr>
            </w:pPr>
          </w:p>
        </w:tc>
      </w:tr>
      <w:tr w:rsidR="00B87D3D" w14:paraId="62A60AEB" w14:textId="77777777">
        <w:tc>
          <w:tcPr>
            <w:tcW w:w="449" w:type="dxa"/>
          </w:tcPr>
          <w:p w14:paraId="1537446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40" w:type="dxa"/>
          </w:tcPr>
          <w:p w14:paraId="04473966"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inscrição referente ao imóvel (inscrição imobiliária, logradouro, construção, desmembramento, incorporação imobiliária, unificação, CAR, etc.)?</w:t>
            </w:r>
          </w:p>
          <w:p w14:paraId="3B71B0B5" w14:textId="77777777" w:rsidR="00B87D3D" w:rsidRDefault="00CC1343">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14:paraId="1394E181" w14:textId="77777777" w:rsidR="00B87D3D" w:rsidRDefault="00CC1343">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212, 213 e 225, todos da LRP.</w:t>
            </w:r>
          </w:p>
          <w:p w14:paraId="519BCBDB"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14:paraId="60E8810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701, parágrafo 2º, do CNCGFE/SC.</w:t>
            </w:r>
          </w:p>
          <w:p w14:paraId="52AAB5AB"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ascii="Times New Roman" w:eastAsia="Times New Roman" w:hAnsi="Times New Roman" w:cs="Times New Roman"/>
                <w:i/>
                <w:sz w:val="20"/>
                <w:szCs w:val="20"/>
              </w:rPr>
              <w:t>habite-se</w:t>
            </w:r>
            <w:r>
              <w:rPr>
                <w:rFonts w:ascii="Times New Roman" w:eastAsia="Times New Roman" w:hAnsi="Times New Roman" w:cs="Times New Roman"/>
                <w:sz w:val="20"/>
                <w:szCs w:val="20"/>
              </w:rPr>
              <w:t xml:space="preserve"> ou, mesmo que possua, sua averbação não for possível devido à dependência de outro procedimento, como usucapião, unificação, </w:t>
            </w:r>
            <w:r>
              <w:rPr>
                <w:rFonts w:ascii="Times New Roman" w:eastAsia="Times New Roman" w:hAnsi="Times New Roman" w:cs="Times New Roman"/>
                <w:sz w:val="20"/>
                <w:szCs w:val="20"/>
              </w:rPr>
              <w:lastRenderedPageBreak/>
              <w:t xml:space="preserve">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14:paraId="7A084FF0"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798 do CNCGFE/SC. </w:t>
            </w:r>
          </w:p>
        </w:tc>
        <w:tc>
          <w:tcPr>
            <w:tcW w:w="602" w:type="dxa"/>
          </w:tcPr>
          <w:p w14:paraId="2BEF9CD4"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2260478F" w14:textId="77777777" w:rsidR="00B87D3D" w:rsidRDefault="00B87D3D">
            <w:pPr>
              <w:spacing w:after="0"/>
              <w:jc w:val="both"/>
              <w:rPr>
                <w:rFonts w:ascii="Times New Roman" w:eastAsia="Times New Roman" w:hAnsi="Times New Roman" w:cs="Times New Roman"/>
                <w:sz w:val="20"/>
                <w:szCs w:val="20"/>
              </w:rPr>
            </w:pPr>
          </w:p>
        </w:tc>
      </w:tr>
      <w:tr w:rsidR="00B87D3D" w14:paraId="631CB2EF" w14:textId="77777777">
        <w:tc>
          <w:tcPr>
            <w:tcW w:w="449" w:type="dxa"/>
          </w:tcPr>
          <w:p w14:paraId="16FDCEA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040" w:type="dxa"/>
          </w:tcPr>
          <w:p w14:paraId="21ED00F5"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Quando o objeto do compromisso for um lote proveniente de loteamento registrado, o contrato foi formulado de acordo com modelo padrão arquivado quando do registro do loteamento?</w:t>
            </w:r>
          </w:p>
          <w:p w14:paraId="1C4A844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Além das estipulações constantes no contrato padrão, o contrato deve conter, ao menos, as seguintes indicações:</w:t>
            </w:r>
          </w:p>
          <w:p w14:paraId="71C095D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 </w:t>
            </w:r>
            <w:proofErr w:type="gramStart"/>
            <w:r>
              <w:rPr>
                <w:rFonts w:ascii="Times New Roman" w:eastAsia="Times New Roman" w:hAnsi="Times New Roman" w:cs="Times New Roman"/>
                <w:sz w:val="20"/>
                <w:szCs w:val="20"/>
              </w:rPr>
              <w:t>nome</w:t>
            </w:r>
            <w:proofErr w:type="gramEnd"/>
            <w:r>
              <w:rPr>
                <w:rFonts w:ascii="Times New Roman" w:eastAsia="Times New Roman" w:hAnsi="Times New Roman" w:cs="Times New Roman"/>
                <w:sz w:val="20"/>
                <w:szCs w:val="20"/>
              </w:rPr>
              <w:t>, registro civil, cadastro fiscal no Ministério da Fazenda, nacionalidade, estado civil e residência dos contratantes;</w:t>
            </w:r>
          </w:p>
          <w:p w14:paraId="044240D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 </w:t>
            </w:r>
            <w:proofErr w:type="gramStart"/>
            <w:r>
              <w:rPr>
                <w:rFonts w:ascii="Times New Roman" w:eastAsia="Times New Roman" w:hAnsi="Times New Roman" w:cs="Times New Roman"/>
                <w:sz w:val="20"/>
                <w:szCs w:val="20"/>
              </w:rPr>
              <w:t>denominação e situação</w:t>
            </w:r>
            <w:proofErr w:type="gramEnd"/>
            <w:r>
              <w:rPr>
                <w:rFonts w:ascii="Times New Roman" w:eastAsia="Times New Roman" w:hAnsi="Times New Roman" w:cs="Times New Roman"/>
                <w:sz w:val="20"/>
                <w:szCs w:val="20"/>
              </w:rPr>
              <w:t xml:space="preserve"> do loteamento, número e data da inscrição;</w:t>
            </w:r>
          </w:p>
          <w:p w14:paraId="7CBE2DD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 - descrição do lote ou dos lotes que forem objeto de compromissos, confrontações, área e outras características;</w:t>
            </w:r>
          </w:p>
          <w:p w14:paraId="26F100E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IV - </w:t>
            </w:r>
            <w:proofErr w:type="gramStart"/>
            <w:r>
              <w:rPr>
                <w:rFonts w:ascii="Times New Roman" w:eastAsia="Times New Roman" w:hAnsi="Times New Roman" w:cs="Times New Roman"/>
                <w:sz w:val="20"/>
                <w:szCs w:val="20"/>
              </w:rPr>
              <w:t>preço</w:t>
            </w:r>
            <w:proofErr w:type="gramEnd"/>
            <w:r>
              <w:rPr>
                <w:rFonts w:ascii="Times New Roman" w:eastAsia="Times New Roman" w:hAnsi="Times New Roman" w:cs="Times New Roman"/>
                <w:sz w:val="20"/>
                <w:szCs w:val="20"/>
              </w:rPr>
              <w:t>, prazo, forma e local de pagamento bem como a importância do sinal;</w:t>
            </w:r>
          </w:p>
          <w:p w14:paraId="06BD2E9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 </w:t>
            </w:r>
            <w:proofErr w:type="gramStart"/>
            <w:r>
              <w:rPr>
                <w:rFonts w:ascii="Times New Roman" w:eastAsia="Times New Roman" w:hAnsi="Times New Roman" w:cs="Times New Roman"/>
                <w:sz w:val="20"/>
                <w:szCs w:val="20"/>
              </w:rPr>
              <w:t>taxa</w:t>
            </w:r>
            <w:proofErr w:type="gramEnd"/>
            <w:r>
              <w:rPr>
                <w:rFonts w:ascii="Times New Roman" w:eastAsia="Times New Roman" w:hAnsi="Times New Roman" w:cs="Times New Roman"/>
                <w:sz w:val="20"/>
                <w:szCs w:val="20"/>
              </w:rPr>
              <w:t xml:space="preserve"> de juros incidentes sobre o débito em aberto e sobre as prestações vencidas e não pagas, bem como a cláusula penal, nunca excedente a 10% (dez por cento) do débito e só exigível nos casos de intervenção judicial ou de mora superior a 3 (três) meses;</w:t>
            </w:r>
          </w:p>
          <w:p w14:paraId="22B0E39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 - </w:t>
            </w:r>
            <w:proofErr w:type="gramStart"/>
            <w:r>
              <w:rPr>
                <w:rFonts w:ascii="Times New Roman" w:eastAsia="Times New Roman" w:hAnsi="Times New Roman" w:cs="Times New Roman"/>
                <w:sz w:val="20"/>
                <w:szCs w:val="20"/>
              </w:rPr>
              <w:t>indicação</w:t>
            </w:r>
            <w:proofErr w:type="gramEnd"/>
            <w:r>
              <w:rPr>
                <w:rFonts w:ascii="Times New Roman" w:eastAsia="Times New Roman" w:hAnsi="Times New Roman" w:cs="Times New Roman"/>
                <w:sz w:val="20"/>
                <w:szCs w:val="20"/>
              </w:rPr>
              <w:t xml:space="preserve"> sobre a quem incumbe o pagamento dos impostos e taxas incidentes sobre o lote compromissado; e</w:t>
            </w:r>
          </w:p>
          <w:p w14:paraId="7718136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VII - declaração das restrições urbanísticas convencionais do loteamento, supletivas da legislação pertinente. </w:t>
            </w:r>
          </w:p>
          <w:p w14:paraId="71AD9123"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18, inciso VI e artigo 26 da Lei 6.766/1979. </w:t>
            </w:r>
          </w:p>
        </w:tc>
        <w:tc>
          <w:tcPr>
            <w:tcW w:w="602" w:type="dxa"/>
          </w:tcPr>
          <w:p w14:paraId="2AA5DE6F"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3852FF66" w14:textId="77777777" w:rsidR="00B87D3D" w:rsidRDefault="00B87D3D">
            <w:pPr>
              <w:spacing w:after="0"/>
              <w:jc w:val="both"/>
              <w:rPr>
                <w:rFonts w:ascii="Times New Roman" w:eastAsia="Times New Roman" w:hAnsi="Times New Roman" w:cs="Times New Roman"/>
                <w:sz w:val="20"/>
                <w:szCs w:val="20"/>
              </w:rPr>
            </w:pPr>
          </w:p>
        </w:tc>
      </w:tr>
      <w:tr w:rsidR="00B87D3D" w14:paraId="7DEA5697" w14:textId="77777777">
        <w:tc>
          <w:tcPr>
            <w:tcW w:w="449" w:type="dxa"/>
          </w:tcPr>
          <w:p w14:paraId="5F09749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040" w:type="dxa"/>
          </w:tcPr>
          <w:p w14:paraId="08CA5857"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imóvel foi cedido para um Fundo de Investimento Imobiliário (FII)?</w:t>
            </w:r>
          </w:p>
          <w:p w14:paraId="55ABBDC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aquisição pelo FII, deverá constar no título de aquisição as restrições enumeradas nos incisos I a VI do artigo 7º da Lei 8.668/1993, assim como deverá constar expressamente que o imóvel adquirido constitui patrimônio do FII. Após o registro da aquisição devemos averbar na matrícula do imóvel as restrições e o destaque acima referidos.</w:t>
            </w:r>
          </w:p>
          <w:p w14:paraId="389C294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transmissão pelo FII, o título será o documento hábil para cancelamento da averbação mencionada no parágrafo anterior.</w:t>
            </w:r>
          </w:p>
          <w:p w14:paraId="59E936AE"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1º, 6º, 7º e 9º da Lei 8.668/1993.</w:t>
            </w:r>
          </w:p>
        </w:tc>
        <w:tc>
          <w:tcPr>
            <w:tcW w:w="602" w:type="dxa"/>
          </w:tcPr>
          <w:p w14:paraId="62E38488"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4D602EA5" w14:textId="77777777" w:rsidR="00B87D3D" w:rsidRDefault="00B87D3D">
            <w:pPr>
              <w:spacing w:after="0"/>
              <w:jc w:val="both"/>
              <w:rPr>
                <w:rFonts w:ascii="Times New Roman" w:eastAsia="Times New Roman" w:hAnsi="Times New Roman" w:cs="Times New Roman"/>
                <w:sz w:val="20"/>
                <w:szCs w:val="20"/>
              </w:rPr>
            </w:pPr>
          </w:p>
        </w:tc>
      </w:tr>
      <w:tr w:rsidR="00B87D3D" w14:paraId="0DCC5D8E" w14:textId="77777777">
        <w:tc>
          <w:tcPr>
            <w:tcW w:w="449" w:type="dxa"/>
          </w:tcPr>
          <w:p w14:paraId="2208D93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p>
        </w:tc>
        <w:tc>
          <w:tcPr>
            <w:tcW w:w="9040" w:type="dxa"/>
          </w:tcPr>
          <w:p w14:paraId="4881DE49"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Sobre os imóveis incide algum ônus ou ação judicial?</w:t>
            </w:r>
          </w:p>
          <w:p w14:paraId="39395F0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não impeditivo para registro da cessão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hipoteca e penhora comuns, servidão, etc.), os adquirentes devem declarar ciência.</w:t>
            </w:r>
          </w:p>
          <w:p w14:paraId="690048F7"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da LRP e artigo 1º da Lei 8.935/1994.</w:t>
            </w:r>
          </w:p>
          <w:p w14:paraId="4AFC245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impeditivo para o registro da cessão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penhora da União Federal ou de suas autarquias e fundações, indisponibilidade, etc.), o interessado pode promover o cancelamento do gravame ou apresentar uma autorização do instituidor, quando possível.</w:t>
            </w:r>
          </w:p>
          <w:p w14:paraId="460BEE8F"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53, parágrafo 1º da Lei 8.212/1991 (penhora da União e suas autarquias e fundações); e Provimento 39/2014 do CNJ (indisponibilidade).  </w:t>
            </w:r>
          </w:p>
        </w:tc>
        <w:tc>
          <w:tcPr>
            <w:tcW w:w="602" w:type="dxa"/>
          </w:tcPr>
          <w:p w14:paraId="52CBB792"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6C4E2AC9" w14:textId="77777777" w:rsidR="00B87D3D" w:rsidRDefault="00B87D3D">
            <w:pPr>
              <w:spacing w:after="0"/>
              <w:jc w:val="both"/>
              <w:rPr>
                <w:rFonts w:ascii="Times New Roman" w:eastAsia="Times New Roman" w:hAnsi="Times New Roman" w:cs="Times New Roman"/>
                <w:sz w:val="20"/>
                <w:szCs w:val="20"/>
              </w:rPr>
            </w:pPr>
          </w:p>
        </w:tc>
      </w:tr>
      <w:tr w:rsidR="00B87D3D" w14:paraId="70A2B3C4" w14:textId="77777777">
        <w:tc>
          <w:tcPr>
            <w:tcW w:w="449" w:type="dxa"/>
          </w:tcPr>
          <w:p w14:paraId="742DBFDD"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040" w:type="dxa"/>
          </w:tcPr>
          <w:p w14:paraId="1A2672BB"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Constaram os valores individualizados dos imóveis?</w:t>
            </w:r>
          </w:p>
          <w:p w14:paraId="500C23B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 valores declarados deverão constar </w:t>
            </w:r>
            <w:proofErr w:type="spellStart"/>
            <w:r>
              <w:rPr>
                <w:rFonts w:ascii="Times New Roman" w:eastAsia="Times New Roman" w:hAnsi="Times New Roman" w:cs="Times New Roman"/>
                <w:sz w:val="20"/>
                <w:szCs w:val="20"/>
              </w:rPr>
              <w:t>individualizadamente</w:t>
            </w:r>
            <w:proofErr w:type="spellEnd"/>
            <w:r>
              <w:rPr>
                <w:rFonts w:ascii="Times New Roman" w:eastAsia="Times New Roman" w:hAnsi="Times New Roman" w:cs="Times New Roman"/>
                <w:sz w:val="20"/>
                <w:szCs w:val="20"/>
              </w:rPr>
              <w:t xml:space="preserve"> para cada imóvel, mesmo em se tratando de unidades autônomas de condomínios edilícios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apartamento, vaga de garagem e hobby-box).</w:t>
            </w:r>
          </w:p>
          <w:p w14:paraId="7CC2C44C"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III, item 5 da LRP.</w:t>
            </w:r>
          </w:p>
        </w:tc>
        <w:tc>
          <w:tcPr>
            <w:tcW w:w="602" w:type="dxa"/>
          </w:tcPr>
          <w:p w14:paraId="56F186E0"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0AD0358A" w14:textId="77777777" w:rsidR="00B87D3D" w:rsidRDefault="00B87D3D">
            <w:pPr>
              <w:spacing w:after="0"/>
              <w:jc w:val="both"/>
              <w:rPr>
                <w:rFonts w:ascii="Times New Roman" w:eastAsia="Times New Roman" w:hAnsi="Times New Roman" w:cs="Times New Roman"/>
                <w:sz w:val="20"/>
                <w:szCs w:val="20"/>
              </w:rPr>
            </w:pPr>
          </w:p>
        </w:tc>
      </w:tr>
      <w:tr w:rsidR="00B87D3D" w14:paraId="00989D2F" w14:textId="77777777">
        <w:tc>
          <w:tcPr>
            <w:tcW w:w="449" w:type="dxa"/>
          </w:tcPr>
          <w:p w14:paraId="2CD74EBB"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040" w:type="dxa"/>
          </w:tcPr>
          <w:p w14:paraId="5AF41E65"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valores declarados pelas partes, para o negócio jurídico e/ou para fins de lançamento fiscal, apresentam dissonância com o valor de mercado do imóvel?</w:t>
            </w:r>
          </w:p>
          <w:p w14:paraId="623EE6F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ascii="Times New Roman" w:eastAsia="Times New Roman" w:hAnsi="Times New Roman" w:cs="Times New Roman"/>
                <w:i/>
                <w:sz w:val="20"/>
                <w:szCs w:val="20"/>
              </w:rPr>
              <w:t>sites</w:t>
            </w:r>
            <w:r>
              <w:rPr>
                <w:rFonts w:ascii="Times New Roman" w:eastAsia="Times New Roman" w:hAnsi="Times New Roman" w:cs="Times New Roman"/>
                <w:sz w:val="20"/>
                <w:szCs w:val="20"/>
              </w:rPr>
              <w:t xml:space="preserve"> de compra e venda de imóveis ou de imobiliárias, tabela FIPE, valor de avaliação fiscal, entre outros. </w:t>
            </w:r>
          </w:p>
          <w:p w14:paraId="222EE57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Encontrado valor de mercado acima do valor declarado, devemos solicitar declaração de valor de mercado, indicando qual o parâmetro utilizado para impugnação, bem como a complementação dos custos de registro.</w:t>
            </w:r>
          </w:p>
          <w:p w14:paraId="7C25393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valor de mercado servirá, exclusivamente, como base de cálculo dos emolumentos, FRJ e ISS, não sendo necessária a complementação de outros tributos incidentes sobre o ato. </w:t>
            </w:r>
          </w:p>
          <w:p w14:paraId="3B106438"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320 do CNCGFE/SC e artigo 6º, parágrafo 3º, da Lei Complementar 755/2019.</w:t>
            </w:r>
          </w:p>
          <w:p w14:paraId="7EE19A9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14:paraId="2FF3D843"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221, inciso II, da Lei 6.015/1973 e artigo 762 do CNCGFE/SC. </w:t>
            </w:r>
          </w:p>
        </w:tc>
        <w:tc>
          <w:tcPr>
            <w:tcW w:w="602" w:type="dxa"/>
          </w:tcPr>
          <w:p w14:paraId="38BC5AAE"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2CEFA4F9" w14:textId="77777777" w:rsidR="00B87D3D" w:rsidRDefault="00B87D3D">
            <w:pPr>
              <w:spacing w:after="0"/>
              <w:jc w:val="both"/>
              <w:rPr>
                <w:rFonts w:ascii="Times New Roman" w:eastAsia="Times New Roman" w:hAnsi="Times New Roman" w:cs="Times New Roman"/>
                <w:sz w:val="20"/>
                <w:szCs w:val="20"/>
              </w:rPr>
            </w:pPr>
          </w:p>
        </w:tc>
      </w:tr>
      <w:tr w:rsidR="00B87D3D" w14:paraId="337A22C8" w14:textId="77777777">
        <w:tc>
          <w:tcPr>
            <w:tcW w:w="449" w:type="dxa"/>
          </w:tcPr>
          <w:p w14:paraId="79D2B47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040" w:type="dxa"/>
          </w:tcPr>
          <w:p w14:paraId="23613EE0"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os imóveis sejam unidades autônomas, foi apresentada a prova de quitação dos débitos condominiais ou a declaração de dispensa?</w:t>
            </w:r>
          </w:p>
          <w:p w14:paraId="64B5E51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quitação pode ser comprovada mediante declaração do transmitente, do síndico ou da administradora do condomínio. Ademais, o adquirente pode dispensar a apresentação da comprovação de quitação ou da declaração do transmitente, assumindo eventual dívida existente.</w:t>
            </w:r>
          </w:p>
          <w:p w14:paraId="3121F19B"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quitação seja declarada: (a) pelo síndico, deve ser apresentada a ata de assembleia em que este foi eleito; e (b) pela administradora do condomínio, deve ser apresentada a ata de assembleia em que esta foi eleita, </w:t>
            </w:r>
            <w:r>
              <w:rPr>
                <w:rFonts w:ascii="Times New Roman" w:eastAsia="Times New Roman" w:hAnsi="Times New Roman" w:cs="Times New Roman"/>
                <w:sz w:val="20"/>
                <w:szCs w:val="20"/>
              </w:rPr>
              <w:lastRenderedPageBreak/>
              <w:t xml:space="preserve">assim como os documentos societários da administradora para conferência da representação. </w:t>
            </w:r>
          </w:p>
          <w:p w14:paraId="7E3E89C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14:paraId="403828D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é necessária a prova de quitação nas transferências de unidades autônomas em fase de incorporação imobiliária.</w:t>
            </w:r>
          </w:p>
          <w:p w14:paraId="458313F9"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4º, parágrafo único, da Lei 4.591/1964 e artigos 762 e 813 do CN/CG-Extra.</w:t>
            </w:r>
          </w:p>
        </w:tc>
        <w:tc>
          <w:tcPr>
            <w:tcW w:w="602" w:type="dxa"/>
          </w:tcPr>
          <w:p w14:paraId="50A211D2"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74928160" w14:textId="77777777" w:rsidR="00B87D3D" w:rsidRDefault="00B87D3D">
            <w:pPr>
              <w:spacing w:after="0"/>
              <w:jc w:val="both"/>
              <w:rPr>
                <w:rFonts w:ascii="Times New Roman" w:eastAsia="Times New Roman" w:hAnsi="Times New Roman" w:cs="Times New Roman"/>
                <w:sz w:val="20"/>
                <w:szCs w:val="20"/>
              </w:rPr>
            </w:pPr>
          </w:p>
        </w:tc>
      </w:tr>
      <w:tr w:rsidR="00B87D3D" w14:paraId="730E2CD9" w14:textId="77777777">
        <w:tc>
          <w:tcPr>
            <w:tcW w:w="449" w:type="dxa"/>
          </w:tcPr>
          <w:p w14:paraId="6F952380"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040" w:type="dxa"/>
          </w:tcPr>
          <w:p w14:paraId="477FE554"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Foi apresentada a guia do Imposto sobre a Transmissão Onerosa de Bens Imóveis por Ato </w:t>
            </w:r>
            <w:r>
              <w:rPr>
                <w:rFonts w:ascii="Times New Roman" w:eastAsia="Times New Roman" w:hAnsi="Times New Roman" w:cs="Times New Roman"/>
                <w:b/>
                <w:i/>
                <w:sz w:val="20"/>
                <w:szCs w:val="20"/>
                <w:u w:val="single"/>
              </w:rPr>
              <w:t xml:space="preserve">Inter Vivos </w:t>
            </w:r>
            <w:r>
              <w:rPr>
                <w:rFonts w:ascii="Times New Roman" w:eastAsia="Times New Roman" w:hAnsi="Times New Roman" w:cs="Times New Roman"/>
                <w:b/>
                <w:sz w:val="20"/>
                <w:szCs w:val="20"/>
                <w:u w:val="single"/>
              </w:rPr>
              <w:t>(ITBI) e o comprovante de recolhimento?</w:t>
            </w:r>
          </w:p>
          <w:p w14:paraId="108D9CDD" w14:textId="77777777" w:rsidR="00B87D3D" w:rsidRDefault="00CC1343">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Quando tratar-se de parcelamento do ITBI, devem ser apresentados a guia originária do ITBI, com a identificação dos imóveis, o termo de concessão do parcelamento e a quitação de todas as guias com vencimento até a data do protocolo.</w:t>
            </w:r>
          </w:p>
          <w:p w14:paraId="23C7797E"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505, 802, inciso I, e 803 do CNCGJ/SC, artigo</w:t>
            </w:r>
            <w:r>
              <w:rPr>
                <w:rFonts w:ascii="Times New Roman" w:eastAsia="Times New Roman" w:hAnsi="Times New Roman" w:cs="Times New Roman"/>
                <w:sz w:val="20"/>
                <w:szCs w:val="20"/>
              </w:rPr>
              <w:t>s 283, inciso III, e 287 do Código Tributário do Município de Florianópolis/SC, artigo 134, inciso VI do Código Tributário Nacional, artigo 289 da LRP e artigo 30, inciso XI da Lei 8.935/1994.</w:t>
            </w:r>
          </w:p>
        </w:tc>
        <w:tc>
          <w:tcPr>
            <w:tcW w:w="602" w:type="dxa"/>
          </w:tcPr>
          <w:p w14:paraId="368C9AE2"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4B1EAE36" w14:textId="77777777" w:rsidR="00B87D3D" w:rsidRDefault="00B87D3D">
            <w:pPr>
              <w:spacing w:after="0"/>
              <w:jc w:val="both"/>
              <w:rPr>
                <w:rFonts w:ascii="Times New Roman" w:eastAsia="Times New Roman" w:hAnsi="Times New Roman" w:cs="Times New Roman"/>
                <w:sz w:val="20"/>
                <w:szCs w:val="20"/>
              </w:rPr>
            </w:pPr>
          </w:p>
        </w:tc>
      </w:tr>
      <w:tr w:rsidR="00B87D3D" w14:paraId="56EE436B" w14:textId="77777777">
        <w:tc>
          <w:tcPr>
            <w:tcW w:w="449" w:type="dxa"/>
          </w:tcPr>
          <w:p w14:paraId="01DB7BD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p>
        </w:tc>
        <w:tc>
          <w:tcPr>
            <w:tcW w:w="9040" w:type="dxa"/>
          </w:tcPr>
          <w:p w14:paraId="5C2BB103"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1332B73B"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1BAC159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33C4524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0D95A8F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emolumentos serão de:</w:t>
            </w:r>
          </w:p>
          <w:p w14:paraId="417FDB8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Registro (com valor)</w:t>
            </w:r>
            <w:r>
              <w:rPr>
                <w:rFonts w:ascii="Times New Roman" w:eastAsia="Times New Roman" w:hAnsi="Times New Roman" w:cs="Times New Roman"/>
                <w:sz w:val="20"/>
                <w:szCs w:val="20"/>
              </w:rPr>
              <w:t>: Serão devidos os emolumentos correspondentes aos valores constantes no item 2.2 da Tabela III da Lei Complementar 755/2019, atualizada e publicizada por meio da Circular 355/2023 da CGFE/SC.</w:t>
            </w:r>
          </w:p>
          <w:p w14:paraId="6115B50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65 da Lei Complementar 755/2019.</w:t>
            </w:r>
          </w:p>
          <w:p w14:paraId="18CF292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Base de Cálculo</w:t>
            </w:r>
            <w:r>
              <w:rPr>
                <w:rFonts w:ascii="Times New Roman" w:eastAsia="Times New Roman" w:hAnsi="Times New Roman" w:cs="Times New Roman"/>
                <w:sz w:val="20"/>
                <w:szCs w:val="20"/>
              </w:rPr>
              <w:t xml:space="preserve">: A base de cálculo deve ser o maior valor entre o valor declarado para o negócio, o valor venal atribuído para fins de cobrança do imposto de transmissão e o valor real ou de mercado. </w:t>
            </w:r>
          </w:p>
          <w:p w14:paraId="5E6ACC4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Fundamento: artigo 6º da Lei Complementar 755/2019 c/c artigo </w:t>
            </w:r>
            <w:proofErr w:type="spellStart"/>
            <w:r>
              <w:rPr>
                <w:rFonts w:ascii="Times New Roman" w:eastAsia="Times New Roman" w:hAnsi="Times New Roman" w:cs="Times New Roman"/>
                <w:sz w:val="20"/>
                <w:szCs w:val="20"/>
              </w:rPr>
              <w:t>artigo</w:t>
            </w:r>
            <w:proofErr w:type="spellEnd"/>
            <w:r>
              <w:rPr>
                <w:rFonts w:ascii="Times New Roman" w:eastAsia="Times New Roman" w:hAnsi="Times New Roman" w:cs="Times New Roman"/>
                <w:sz w:val="20"/>
                <w:szCs w:val="20"/>
              </w:rPr>
              <w:t xml:space="preserve"> 320 do CNCGJ/</w:t>
            </w:r>
            <w:proofErr w:type="gramStart"/>
            <w:r>
              <w:rPr>
                <w:rFonts w:ascii="Times New Roman" w:eastAsia="Times New Roman" w:hAnsi="Times New Roman" w:cs="Times New Roman"/>
                <w:sz w:val="20"/>
                <w:szCs w:val="20"/>
              </w:rPr>
              <w:t>SC..</w:t>
            </w:r>
            <w:proofErr w:type="gramEnd"/>
          </w:p>
          <w:p w14:paraId="422BBD7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Unidades Acessórias</w:t>
            </w:r>
            <w:r>
              <w:rPr>
                <w:rFonts w:ascii="Times New Roman" w:eastAsia="Times New Roman" w:hAnsi="Times New Roman" w:cs="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14:paraId="230FAFB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66 da Lei Complementar 755/2019.</w:t>
            </w:r>
          </w:p>
          <w:p w14:paraId="2BD47ECF" w14:textId="3D7F2546"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12118CB1"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item 8 da Tabela III da Lei Complementar 755/2019, atualizada e publicizada por meio da Circular 355/2023 da CGFE/SC.</w:t>
            </w:r>
          </w:p>
          <w:p w14:paraId="464F0C56"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61991542"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48D172E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4ED4235D" w14:textId="77777777" w:rsidR="00CC1343" w:rsidRDefault="00CC1343">
            <w:pPr>
              <w:spacing w:after="0"/>
              <w:jc w:val="both"/>
              <w:rPr>
                <w:rFonts w:ascii="Times New Roman" w:eastAsia="Times New Roman" w:hAnsi="Times New Roman" w:cs="Times New Roman"/>
                <w:sz w:val="20"/>
                <w:szCs w:val="20"/>
              </w:rPr>
            </w:pPr>
            <w:r w:rsidRPr="00CC1343">
              <w:rPr>
                <w:rFonts w:ascii="Times New Roman" w:eastAsia="Times New Roman" w:hAnsi="Times New Roman" w:cs="Times New Roman"/>
                <w:sz w:val="20"/>
                <w:szCs w:val="20"/>
              </w:rPr>
              <w:t>Fundamento do ISS: artigo 36 da Lei Municipal 3003/2011.</w:t>
            </w:r>
          </w:p>
          <w:p w14:paraId="59DE26AB" w14:textId="1EEEEBAE"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602" w:type="dxa"/>
          </w:tcPr>
          <w:p w14:paraId="3A7E5406"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1B6A4538" w14:textId="77777777" w:rsidR="00B87D3D" w:rsidRDefault="00B87D3D">
            <w:pPr>
              <w:spacing w:after="0"/>
              <w:jc w:val="both"/>
              <w:rPr>
                <w:rFonts w:ascii="Times New Roman" w:eastAsia="Times New Roman" w:hAnsi="Times New Roman" w:cs="Times New Roman"/>
                <w:sz w:val="20"/>
                <w:szCs w:val="20"/>
              </w:rPr>
            </w:pPr>
          </w:p>
        </w:tc>
      </w:tr>
      <w:tr w:rsidR="00B87D3D" w14:paraId="62F77FFC" w14:textId="77777777">
        <w:tc>
          <w:tcPr>
            <w:tcW w:w="449" w:type="dxa"/>
          </w:tcPr>
          <w:p w14:paraId="0D9D440E"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040" w:type="dxa"/>
          </w:tcPr>
          <w:p w14:paraId="65487AF1"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positivamente?</w:t>
            </w:r>
          </w:p>
          <w:p w14:paraId="28A14FAF"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Antes da inscrição, devemos cadastrar o ato para a emissão da Declaração sobre Operações Imobiliárias (DOI). </w:t>
            </w:r>
          </w:p>
          <w:p w14:paraId="4F7AC82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da Instrução Normativa RFB 1.112/2010.</w:t>
            </w:r>
          </w:p>
          <w:p w14:paraId="345CBF35"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imóvel seja de marinha, devemos cadastrar o ato, também, para a emissão da Declaração sobre Operações Imobiliárias de Terrenos da União (DOITU).</w:t>
            </w:r>
          </w:p>
          <w:p w14:paraId="65201B95"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3º-A do Decreto-Lei 2.398/1987 e artigo 2º da Portaria SPU/ME 24.218/2020.</w:t>
            </w:r>
          </w:p>
        </w:tc>
        <w:tc>
          <w:tcPr>
            <w:tcW w:w="602" w:type="dxa"/>
          </w:tcPr>
          <w:p w14:paraId="1BCF2056"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74184AB9" w14:textId="77777777" w:rsidR="00B87D3D" w:rsidRDefault="00B87D3D">
            <w:pPr>
              <w:spacing w:after="0"/>
              <w:jc w:val="both"/>
              <w:rPr>
                <w:rFonts w:ascii="Times New Roman" w:eastAsia="Times New Roman" w:hAnsi="Times New Roman" w:cs="Times New Roman"/>
                <w:sz w:val="20"/>
                <w:szCs w:val="20"/>
              </w:rPr>
            </w:pPr>
          </w:p>
        </w:tc>
      </w:tr>
      <w:tr w:rsidR="00B87D3D" w14:paraId="03EECD7C" w14:textId="77777777">
        <w:tc>
          <w:tcPr>
            <w:tcW w:w="449" w:type="dxa"/>
          </w:tcPr>
          <w:p w14:paraId="4BF5CC39"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9040" w:type="dxa"/>
          </w:tcPr>
          <w:p w14:paraId="2FA89334"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negativamente?</w:t>
            </w:r>
          </w:p>
          <w:p w14:paraId="71240C54"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0EF9D593"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218320FA"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3E94CF9E" w14:textId="77777777" w:rsidR="00B87D3D" w:rsidRDefault="00CC1343">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602" w:type="dxa"/>
          </w:tcPr>
          <w:p w14:paraId="6DEDAE19" w14:textId="77777777" w:rsidR="00B87D3D" w:rsidRDefault="00B87D3D">
            <w:pPr>
              <w:spacing w:after="0"/>
              <w:jc w:val="both"/>
              <w:rPr>
                <w:rFonts w:ascii="Times New Roman" w:eastAsia="Times New Roman" w:hAnsi="Times New Roman" w:cs="Times New Roman"/>
                <w:sz w:val="20"/>
                <w:szCs w:val="20"/>
              </w:rPr>
            </w:pPr>
          </w:p>
        </w:tc>
        <w:tc>
          <w:tcPr>
            <w:tcW w:w="613" w:type="dxa"/>
          </w:tcPr>
          <w:p w14:paraId="523CDCC8" w14:textId="77777777" w:rsidR="00B87D3D" w:rsidRDefault="00B87D3D">
            <w:pPr>
              <w:spacing w:after="0"/>
              <w:jc w:val="both"/>
              <w:rPr>
                <w:rFonts w:ascii="Times New Roman" w:eastAsia="Times New Roman" w:hAnsi="Times New Roman" w:cs="Times New Roman"/>
                <w:sz w:val="20"/>
                <w:szCs w:val="20"/>
              </w:rPr>
            </w:pPr>
          </w:p>
        </w:tc>
      </w:tr>
    </w:tbl>
    <w:p w14:paraId="7B4DC5F1" w14:textId="77777777" w:rsidR="00B87D3D" w:rsidRDefault="00B87D3D">
      <w:pPr>
        <w:spacing w:after="0"/>
        <w:jc w:val="both"/>
        <w:rPr>
          <w:rFonts w:ascii="Times New Roman" w:eastAsia="Times New Roman" w:hAnsi="Times New Roman" w:cs="Times New Roman"/>
          <w:sz w:val="20"/>
          <w:szCs w:val="20"/>
        </w:rPr>
      </w:pPr>
    </w:p>
    <w:p w14:paraId="71AF9BB8" w14:textId="77777777" w:rsidR="00B87D3D" w:rsidRDefault="00CC134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78F5D4B5" w14:textId="77777777" w:rsidR="00B87D3D" w:rsidRDefault="00B87D3D">
      <w:pPr>
        <w:spacing w:after="0"/>
        <w:jc w:val="both"/>
        <w:rPr>
          <w:rFonts w:ascii="Times New Roman" w:eastAsia="Times New Roman" w:hAnsi="Times New Roman" w:cs="Times New Roman"/>
          <w:sz w:val="20"/>
          <w:szCs w:val="20"/>
        </w:rPr>
      </w:pPr>
    </w:p>
    <w:p w14:paraId="09EE0F21" w14:textId="77777777" w:rsidR="00B87D3D" w:rsidRDefault="00CC1343">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p w14:paraId="0CC723B5" w14:textId="77777777" w:rsidR="00B87D3D" w:rsidRDefault="00B87D3D">
      <w:pPr>
        <w:spacing w:after="0"/>
        <w:jc w:val="left"/>
        <w:rPr>
          <w:rFonts w:ascii="Times New Roman" w:eastAsia="Times New Roman" w:hAnsi="Times New Roman" w:cs="Times New Roman"/>
          <w:sz w:val="20"/>
          <w:szCs w:val="20"/>
        </w:rPr>
      </w:pPr>
    </w:p>
    <w:sectPr w:rsidR="00B87D3D">
      <w:pgSz w:w="11906" w:h="16838"/>
      <w:pgMar w:top="568" w:right="567" w:bottom="709"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3D"/>
    <w:rsid w:val="00B87D3D"/>
    <w:rsid w:val="00CC1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AC57"/>
  <w15:docId w15:val="{7F4E6BC4-A2ED-4B31-A505-1F598B9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4132</Words>
  <Characters>22313</Characters>
  <Application>Microsoft Office Word</Application>
  <DocSecurity>0</DocSecurity>
  <Lines>185</Lines>
  <Paragraphs>52</Paragraphs>
  <ScaleCrop>false</ScaleCrop>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2024-04-27T01:03:00Z</dcterms:created>
  <dcterms:modified xsi:type="dcterms:W3CDTF">2024-04-27T01:03:00Z</dcterms:modified>
</cp:coreProperties>
</file>