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A85916" w14:textId="77777777" w:rsidR="0093070D" w:rsidRDefault="0093070D">
      <w:pPr>
        <w:spacing w:after="0"/>
        <w:rPr>
          <w:rFonts w:ascii="Times New Roman" w:eastAsia="Times New Roman" w:hAnsi="Times New Roman" w:cs="Times New Roman"/>
          <w:b/>
          <w:sz w:val="20"/>
          <w:szCs w:val="20"/>
        </w:rPr>
      </w:pPr>
      <w:r>
        <w:rPr>
          <w:noProof/>
        </w:rPr>
        <w:drawing>
          <wp:inline distT="0" distB="0" distL="0" distR="0" wp14:anchorId="5C0DEB28" wp14:editId="1D0351AC">
            <wp:extent cx="2755900" cy="866140"/>
            <wp:effectExtent l="0" t="0" r="6350" b="0"/>
            <wp:docPr id="322" name="Picture 322"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322" name="Picture 322" descr="Texto&#10;&#10;Descrição gerada automaticamente"/>
                    <pic:cNvPicPr/>
                  </pic:nvPicPr>
                  <pic:blipFill>
                    <a:blip r:embed="rId4"/>
                    <a:stretch>
                      <a:fillRect/>
                    </a:stretch>
                  </pic:blipFill>
                  <pic:spPr>
                    <a:xfrm>
                      <a:off x="0" y="0"/>
                      <a:ext cx="2755900" cy="866140"/>
                    </a:xfrm>
                    <a:prstGeom prst="rect">
                      <a:avLst/>
                    </a:prstGeom>
                  </pic:spPr>
                </pic:pic>
              </a:graphicData>
            </a:graphic>
          </wp:inline>
        </w:drawing>
      </w:r>
    </w:p>
    <w:p w14:paraId="352306C6" w14:textId="77777777" w:rsidR="0093070D" w:rsidRDefault="0093070D">
      <w:pPr>
        <w:spacing w:after="0"/>
        <w:rPr>
          <w:rFonts w:ascii="Times New Roman" w:eastAsia="Times New Roman" w:hAnsi="Times New Roman" w:cs="Times New Roman"/>
          <w:b/>
          <w:sz w:val="20"/>
          <w:szCs w:val="20"/>
        </w:rPr>
      </w:pPr>
    </w:p>
    <w:p w14:paraId="5B30DD3A" w14:textId="076E7FA1" w:rsidR="00715D8B" w:rsidRDefault="0093070D">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PROTOCOLO: ______________  MATRÍCULA(S): __________________________________________</w:t>
      </w:r>
    </w:p>
    <w:p w14:paraId="7CA3DFD2" w14:textId="77777777" w:rsidR="00715D8B" w:rsidRDefault="00715D8B">
      <w:pPr>
        <w:spacing w:after="0"/>
        <w:rPr>
          <w:rFonts w:ascii="Times New Roman" w:eastAsia="Times New Roman" w:hAnsi="Times New Roman" w:cs="Times New Roman"/>
          <w:sz w:val="20"/>
          <w:szCs w:val="20"/>
          <w:u w:val="single"/>
        </w:rPr>
      </w:pPr>
    </w:p>
    <w:p w14:paraId="35CE6EC1" w14:textId="77777777" w:rsidR="00715D8B" w:rsidRDefault="0093070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COMPRA E VENDA </w:t>
      </w:r>
      <w:r>
        <w:rPr>
          <w:rFonts w:ascii="Times New Roman" w:eastAsia="Times New Roman" w:hAnsi="Times New Roman" w:cs="Times New Roman"/>
          <w:b/>
          <w:sz w:val="24"/>
          <w:szCs w:val="24"/>
          <w:u w:val="single"/>
        </w:rPr>
        <w:t>COM</w:t>
      </w:r>
      <w:r>
        <w:rPr>
          <w:rFonts w:ascii="Times New Roman" w:eastAsia="Times New Roman" w:hAnsi="Times New Roman" w:cs="Times New Roman"/>
          <w:b/>
          <w:sz w:val="24"/>
          <w:szCs w:val="24"/>
          <w:u w:val="single"/>
        </w:rPr>
        <w:t xml:space="preserve"> ALIENAÇÃO FIDUCIÁRIA</w:t>
      </w:r>
    </w:p>
    <w:p w14:paraId="4B7BB881" w14:textId="77777777" w:rsidR="00715D8B" w:rsidRDefault="00715D8B">
      <w:pPr>
        <w:spacing w:after="0"/>
        <w:rPr>
          <w:rFonts w:ascii="Times New Roman" w:eastAsia="Times New Roman" w:hAnsi="Times New Roman" w:cs="Times New Roman"/>
          <w:b/>
          <w:sz w:val="24"/>
          <w:szCs w:val="24"/>
          <w:u w:val="single"/>
        </w:rPr>
      </w:pPr>
    </w:p>
    <w:p w14:paraId="64621742" w14:textId="77777777" w:rsidR="00715D8B" w:rsidRDefault="0093070D">
      <w:pPr>
        <w:spacing w:after="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ESCRITURA PÚBLICA</w:t>
      </w:r>
    </w:p>
    <w:p w14:paraId="22233C7C" w14:textId="77777777" w:rsidR="00715D8B" w:rsidRDefault="00715D8B">
      <w:pPr>
        <w:spacing w:after="0"/>
        <w:rPr>
          <w:rFonts w:ascii="Times New Roman" w:eastAsia="Times New Roman" w:hAnsi="Times New Roman" w:cs="Times New Roman"/>
          <w:sz w:val="20"/>
          <w:szCs w:val="20"/>
        </w:rPr>
      </w:pPr>
    </w:p>
    <w:tbl>
      <w:tblPr>
        <w:tblStyle w:val="a"/>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8509"/>
        <w:gridCol w:w="581"/>
        <w:gridCol w:w="615"/>
      </w:tblGrid>
      <w:tr w:rsidR="00715D8B" w14:paraId="4B45D1F5" w14:textId="77777777">
        <w:tc>
          <w:tcPr>
            <w:tcW w:w="465" w:type="dxa"/>
          </w:tcPr>
          <w:p w14:paraId="3CD41E0A" w14:textId="77777777" w:rsidR="00715D8B" w:rsidRDefault="00715D8B">
            <w:pPr>
              <w:spacing w:after="0"/>
              <w:jc w:val="both"/>
              <w:rPr>
                <w:rFonts w:ascii="Times New Roman" w:eastAsia="Times New Roman" w:hAnsi="Times New Roman" w:cs="Times New Roman"/>
                <w:sz w:val="20"/>
                <w:szCs w:val="20"/>
              </w:rPr>
            </w:pPr>
          </w:p>
        </w:tc>
        <w:tc>
          <w:tcPr>
            <w:tcW w:w="8508" w:type="dxa"/>
          </w:tcPr>
          <w:p w14:paraId="309139EE" w14:textId="77777777" w:rsidR="00715D8B" w:rsidRDefault="00715D8B">
            <w:pPr>
              <w:spacing w:after="0"/>
              <w:jc w:val="both"/>
              <w:rPr>
                <w:rFonts w:ascii="Times New Roman" w:eastAsia="Times New Roman" w:hAnsi="Times New Roman" w:cs="Times New Roman"/>
                <w:sz w:val="20"/>
                <w:szCs w:val="20"/>
              </w:rPr>
            </w:pPr>
          </w:p>
        </w:tc>
        <w:tc>
          <w:tcPr>
            <w:tcW w:w="581" w:type="dxa"/>
          </w:tcPr>
          <w:p w14:paraId="4E68203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Sim</w:t>
            </w:r>
          </w:p>
        </w:tc>
        <w:tc>
          <w:tcPr>
            <w:tcW w:w="615" w:type="dxa"/>
          </w:tcPr>
          <w:p w14:paraId="0BA81BF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Não</w:t>
            </w:r>
          </w:p>
        </w:tc>
      </w:tr>
      <w:tr w:rsidR="00715D8B" w14:paraId="55361C1A" w14:textId="77777777">
        <w:tc>
          <w:tcPr>
            <w:tcW w:w="465" w:type="dxa"/>
          </w:tcPr>
          <w:p w14:paraId="50948E2D" w14:textId="77777777" w:rsidR="00715D8B" w:rsidRDefault="0093070D">
            <w:pPr>
              <w:spacing w:after="0"/>
              <w:jc w:val="both"/>
              <w:rPr>
                <w:rFonts w:ascii="Times New Roman" w:eastAsia="Times New Roman" w:hAnsi="Times New Roman" w:cs="Times New Roman"/>
                <w:sz w:val="20"/>
                <w:szCs w:val="20"/>
              </w:rPr>
            </w:pPr>
            <w:bookmarkStart w:id="0" w:name="gjdgxs" w:colFirst="0" w:colLast="0"/>
            <w:bookmarkEnd w:id="0"/>
            <w:r>
              <w:rPr>
                <w:rFonts w:ascii="Times New Roman" w:eastAsia="Times New Roman" w:hAnsi="Times New Roman" w:cs="Times New Roman"/>
                <w:sz w:val="20"/>
                <w:szCs w:val="20"/>
              </w:rPr>
              <w:t>1</w:t>
            </w:r>
          </w:p>
        </w:tc>
        <w:tc>
          <w:tcPr>
            <w:tcW w:w="8508" w:type="dxa"/>
          </w:tcPr>
          <w:p w14:paraId="6E1F3CF2"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outra prenotação vinculada às matrículas objetos do presente título?</w:t>
            </w:r>
          </w:p>
          <w:p w14:paraId="3F71FFA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da prenotação deve ser realizada pelo campo “visualizar pendências do imóvel”, na aba de matrículas, quando da conferência inicial, do registro e da conferência final.</w:t>
            </w:r>
          </w:p>
          <w:p w14:paraId="1368BD1A"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a resposta for positiva, devemos verificar se os títulos ou procedimentos prenotados impedem a inscrição do ato requerido ou se, não impedindo, qual deve ser inscrito primeiro.</w:t>
            </w:r>
          </w:p>
          <w:p w14:paraId="342B3A5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entre as matrículas constantes no título e as matrículas prenotadas no sistema, devemos corrigir a prenotação e anotar a correção manuscritamente no protocolo.</w:t>
            </w:r>
          </w:p>
          <w:p w14:paraId="796A7977"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11, 12, 174, 182, 186 e 190 da Lei 6.015/1973 - Lei de Registros Públicos - LRP.</w:t>
            </w:r>
          </w:p>
        </w:tc>
        <w:tc>
          <w:tcPr>
            <w:tcW w:w="581" w:type="dxa"/>
          </w:tcPr>
          <w:p w14:paraId="04C2C438"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3EEE40BB" w14:textId="77777777" w:rsidR="00715D8B" w:rsidRDefault="00715D8B">
            <w:pPr>
              <w:spacing w:after="0"/>
              <w:jc w:val="both"/>
              <w:rPr>
                <w:rFonts w:ascii="Times New Roman" w:eastAsia="Times New Roman" w:hAnsi="Times New Roman" w:cs="Times New Roman"/>
                <w:sz w:val="20"/>
                <w:szCs w:val="20"/>
              </w:rPr>
            </w:pPr>
          </w:p>
        </w:tc>
      </w:tr>
      <w:tr w:rsidR="00715D8B" w14:paraId="1C741AAC" w14:textId="77777777">
        <w:tc>
          <w:tcPr>
            <w:tcW w:w="465" w:type="dxa"/>
          </w:tcPr>
          <w:p w14:paraId="17E0E6F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8" w:type="dxa"/>
          </w:tcPr>
          <w:p w14:paraId="2A0868B2"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apresentado o título hábil para inscrição?</w:t>
            </w:r>
          </w:p>
          <w:p w14:paraId="1FA5308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Pelo contrato de compra e venda, um dos contratantes se obriga a transferir o domínio de certa coisa, e o outro, a pagar-lhe certo preço em dinheiro.</w:t>
            </w:r>
          </w:p>
          <w:p w14:paraId="1F43B04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481 do Código Civil - CC.</w:t>
            </w:r>
          </w:p>
          <w:p w14:paraId="02CDF8E6" w14:textId="77777777" w:rsidR="00715D8B" w:rsidRDefault="0093070D">
            <w:pPr>
              <w:spacing w:after="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A alienação fiduciária é o negócio jurídico pelo qual o fiduciante, com o escopo de garantia de obrigação própria ou de </w:t>
            </w:r>
            <w:proofErr w:type="spellStart"/>
            <w:r>
              <w:rPr>
                <w:rFonts w:ascii="Times New Roman" w:eastAsia="Times New Roman" w:hAnsi="Times New Roman" w:cs="Times New Roman"/>
                <w:sz w:val="20"/>
                <w:szCs w:val="20"/>
                <w:highlight w:val="white"/>
              </w:rPr>
              <w:t>terceiro</w:t>
            </w:r>
            <w:proofErr w:type="spellEnd"/>
            <w:r>
              <w:rPr>
                <w:rFonts w:ascii="Times New Roman" w:eastAsia="Times New Roman" w:hAnsi="Times New Roman" w:cs="Times New Roman"/>
                <w:sz w:val="20"/>
                <w:szCs w:val="20"/>
                <w:highlight w:val="white"/>
              </w:rPr>
              <w:t>, contrata a transferência ao credor, ou fiduciário, da propriedade resolúvel de coisa imóvel.</w:t>
            </w:r>
          </w:p>
          <w:p w14:paraId="32D23B0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u w:val="single"/>
              </w:rPr>
              <w:t>Fundamento</w:t>
            </w:r>
            <w:r>
              <w:rPr>
                <w:rFonts w:ascii="Times New Roman" w:eastAsia="Times New Roman" w:hAnsi="Times New Roman" w:cs="Times New Roman"/>
                <w:sz w:val="20"/>
                <w:szCs w:val="20"/>
                <w:highlight w:val="white"/>
              </w:rPr>
              <w:t>: artigo 22 da Lei 9.514/1997.</w:t>
            </w:r>
          </w:p>
          <w:p w14:paraId="462EC96B" w14:textId="77777777" w:rsidR="00715D8B" w:rsidRDefault="0093070D">
            <w:pPr>
              <w:spacing w:after="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As operações garantidas por alienação fiduciária de bens imóveis firmadas por entidades integrantes do Sistema Financeiro Habitacional - SFH ou do Sistema de Financiamento Imobiliário - SFI, por cooperativas de crédito ou por administradoras de consórcio de imóveis poderão ser instrumentalizadas por contrato particular. As demais operações deverão ser instrumentalizadas por escritura pública.</w:t>
            </w:r>
          </w:p>
          <w:p w14:paraId="0BF1EADC"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u w:val="single"/>
              </w:rPr>
              <w:t>Fundamento</w:t>
            </w:r>
            <w:r>
              <w:rPr>
                <w:rFonts w:ascii="Times New Roman" w:eastAsia="Times New Roman" w:hAnsi="Times New Roman" w:cs="Times New Roman"/>
                <w:sz w:val="20"/>
                <w:szCs w:val="20"/>
                <w:highlight w:val="white"/>
              </w:rPr>
              <w:t xml:space="preserve">: artigos 108 e 166, incisos IV e V, do Código Civil - CC, artigo 38 da Lei 9.514/1997, </w:t>
            </w:r>
            <w:r>
              <w:rPr>
                <w:rFonts w:ascii="Times New Roman" w:eastAsia="Times New Roman" w:hAnsi="Times New Roman" w:cs="Times New Roman"/>
                <w:sz w:val="20"/>
                <w:szCs w:val="20"/>
              </w:rPr>
              <w:t>artigo 61, parágrafo 5º, da Lei 4.380/1964,</w:t>
            </w:r>
            <w:r>
              <w:rPr>
                <w:rFonts w:ascii="Times New Roman" w:eastAsia="Times New Roman" w:hAnsi="Times New Roman" w:cs="Times New Roman"/>
                <w:sz w:val="20"/>
                <w:szCs w:val="20"/>
                <w:highlight w:val="white"/>
              </w:rPr>
              <w:t xml:space="preserve"> e artigo 879 do Código de Normas da Corregedoria-Geral do Foro Extrajudicial do Tribunal de Justiça do Estado de Santa Catarina.</w:t>
            </w:r>
          </w:p>
        </w:tc>
        <w:tc>
          <w:tcPr>
            <w:tcW w:w="581" w:type="dxa"/>
          </w:tcPr>
          <w:p w14:paraId="5ACBBD5B"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552C382E" w14:textId="77777777" w:rsidR="00715D8B" w:rsidRDefault="00715D8B">
            <w:pPr>
              <w:spacing w:after="0"/>
              <w:jc w:val="both"/>
              <w:rPr>
                <w:rFonts w:ascii="Times New Roman" w:eastAsia="Times New Roman" w:hAnsi="Times New Roman" w:cs="Times New Roman"/>
                <w:sz w:val="20"/>
                <w:szCs w:val="20"/>
              </w:rPr>
            </w:pPr>
          </w:p>
        </w:tc>
      </w:tr>
      <w:tr w:rsidR="00715D8B" w14:paraId="653506E4" w14:textId="77777777">
        <w:tc>
          <w:tcPr>
            <w:tcW w:w="465" w:type="dxa"/>
          </w:tcPr>
          <w:p w14:paraId="2D3009C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8" w:type="dxa"/>
          </w:tcPr>
          <w:p w14:paraId="26F41A92"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conferida a autenticidade do título apresentado?</w:t>
            </w:r>
          </w:p>
          <w:p w14:paraId="7DAC0F8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14:paraId="4CDBB81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14:paraId="2432C18C"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ascii="Times New Roman" w:eastAsia="Times New Roman" w:hAnsi="Times New Roman" w:cs="Times New Roman"/>
                <w:i/>
                <w:sz w:val="20"/>
                <w:szCs w:val="20"/>
              </w:rPr>
              <w:t>e-mail</w:t>
            </w:r>
            <w:r>
              <w:rPr>
                <w:rFonts w:ascii="Times New Roman" w:eastAsia="Times New Roman" w:hAnsi="Times New Roman" w:cs="Times New Roman"/>
                <w:sz w:val="20"/>
                <w:szCs w:val="20"/>
              </w:rPr>
              <w:t xml:space="preserve"> ou ligação telefônica reduzida a termo, pelos contatos disponíveis no cadastro da serventia no CNJ.   </w:t>
            </w:r>
          </w:p>
          <w:p w14:paraId="4A37D440" w14:textId="77777777" w:rsidR="00715D8B" w:rsidRDefault="0093070D">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A autenticidade do ato só é garantida depois do recebimento dos dados pelo Poder Judiciário.</w:t>
            </w:r>
          </w:p>
          <w:p w14:paraId="5AD6848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artigos 308, 355, parágrafo 1º, 762, 809 e 815 do CNCGFE/SC. </w:t>
            </w:r>
          </w:p>
        </w:tc>
        <w:tc>
          <w:tcPr>
            <w:tcW w:w="581" w:type="dxa"/>
          </w:tcPr>
          <w:p w14:paraId="72A6EA62"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087AAC6A" w14:textId="77777777" w:rsidR="00715D8B" w:rsidRDefault="00715D8B">
            <w:pPr>
              <w:spacing w:after="0"/>
              <w:jc w:val="both"/>
              <w:rPr>
                <w:rFonts w:ascii="Times New Roman" w:eastAsia="Times New Roman" w:hAnsi="Times New Roman" w:cs="Times New Roman"/>
                <w:sz w:val="20"/>
                <w:szCs w:val="20"/>
              </w:rPr>
            </w:pPr>
          </w:p>
        </w:tc>
      </w:tr>
      <w:tr w:rsidR="00715D8B" w14:paraId="2E843BE9" w14:textId="77777777">
        <w:tc>
          <w:tcPr>
            <w:tcW w:w="465" w:type="dxa"/>
          </w:tcPr>
          <w:p w14:paraId="3E56555C"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8" w:type="dxa"/>
          </w:tcPr>
          <w:p w14:paraId="11157FEB"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outorgantes (transmitentes e devedores/terceiros fiduciantes)?</w:t>
            </w:r>
          </w:p>
          <w:p w14:paraId="00D9178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alienação fiduciária poderá ser contratada por pessoa física ou jurídica, não sendo privativa das entidades que operam no SFI.</w:t>
            </w:r>
          </w:p>
          <w:p w14:paraId="2367DED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 parágrafo 1º, da Lei 9.514/1997.</w:t>
            </w:r>
          </w:p>
          <w:p w14:paraId="62DBFD2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título de compra e venda com alienação fiduciária instrumentaliza dois negócios jurídicos distintos, por esse motivo sempre haverá a figura de dois transmitentes, o primeiro no ato de compra e venda e o segundo na transmissão da propriedade fiduciária. É importante se atentar a essa observação para a conferência dos demais itens do roteiro de conferência.</w:t>
            </w:r>
          </w:p>
          <w:p w14:paraId="2C8B7E8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CPF, estado civil e endereço e para as pessoas jurídicas: denominação social, CNPJ, sede e representantes.</w:t>
            </w:r>
          </w:p>
          <w:p w14:paraId="7E80AEA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14:paraId="29B8C7FC"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dispensável a qualificação completa do cônjuge ou companheiro quando pactuado o regime da separação absoluta de bens, bastando a indicação do nome do cônjuge ou companheiro.</w:t>
            </w:r>
          </w:p>
          <w:p w14:paraId="30DCD28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Não havendo declaração de convivência em união estável, devemos presumir a sua ausência.</w:t>
            </w:r>
          </w:p>
          <w:p w14:paraId="22849567"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706 do CNCGFE/SC.</w:t>
            </w:r>
          </w:p>
          <w:p w14:paraId="5364518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pacto antenupcial ou o instrumento de constituição de união estável em que tenha sido pactuado regime de bens diverso do legal, deve ser registrado no Livro 3/RA e averbado em todas as matrículas em que os cônjuges ou companheiros sejam detentores de direito real.</w:t>
            </w:r>
          </w:p>
          <w:p w14:paraId="4A98A25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14:paraId="5C9834C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 ausência de informação sobre o regime de bens adotado para a união estável, devemos presumir o regime legal da comunhão parcial.</w:t>
            </w:r>
          </w:p>
          <w:p w14:paraId="562D7BFA" w14:textId="77777777" w:rsidR="00715D8B" w:rsidRDefault="0093070D">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Nas matrículas em que o registro no Livro 3/RA tenha sido mencionado na qualificação das partes, não precisamos realizar uma averbação apartada antes de registrar o título.</w:t>
            </w:r>
          </w:p>
          <w:p w14:paraId="29F9FCD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244 da LRP e artigos 707 e 729 do CNCGFE/SC.</w:t>
            </w:r>
          </w:p>
          <w:p w14:paraId="76648CFA"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os outorgantes forem casados ou conviverem em regime de união estável, é necessária a autorização do cônjuge ou companheiro para a transferência do imóvel, salvo se for adotado o regime da separação de bens ou se, adotado o regime da participação final nos aquestos, houver estipulação expressa no pacto antenupcial ou no instrumento de união estável sobre a livre disposição do imóvel.</w:t>
            </w:r>
          </w:p>
          <w:p w14:paraId="0A8155B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1.647, inciso I, 1.656 e 1.687 do Código Civil - CC.</w:t>
            </w:r>
          </w:p>
        </w:tc>
        <w:tc>
          <w:tcPr>
            <w:tcW w:w="581" w:type="dxa"/>
          </w:tcPr>
          <w:p w14:paraId="1EC25A46"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210DEE86" w14:textId="77777777" w:rsidR="00715D8B" w:rsidRDefault="00715D8B">
            <w:pPr>
              <w:spacing w:after="0"/>
              <w:jc w:val="both"/>
              <w:rPr>
                <w:rFonts w:ascii="Times New Roman" w:eastAsia="Times New Roman" w:hAnsi="Times New Roman" w:cs="Times New Roman"/>
                <w:sz w:val="20"/>
                <w:szCs w:val="20"/>
              </w:rPr>
            </w:pPr>
          </w:p>
        </w:tc>
      </w:tr>
      <w:tr w:rsidR="00715D8B" w14:paraId="62E8A342" w14:textId="77777777">
        <w:tc>
          <w:tcPr>
            <w:tcW w:w="465" w:type="dxa"/>
          </w:tcPr>
          <w:p w14:paraId="21FB1A1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8" w:type="dxa"/>
          </w:tcPr>
          <w:p w14:paraId="39247990"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averbação referente à qualificação dos outorgantes (retificação de dados de qualificação, casamento, divórcio, alteração da razão social, dissolução de união estável, etc.)?</w:t>
            </w:r>
          </w:p>
          <w:p w14:paraId="47584C4C"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averbação de retificação pode ser realizada com base no próprio título, quando os dados necessários constarem expressamente.</w:t>
            </w:r>
          </w:p>
          <w:p w14:paraId="2173E84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averbação pode ser realizada ainda por meio de requerimento, acompanhado dos documentos competentes, apresentados em protocolo separado.</w:t>
            </w:r>
          </w:p>
          <w:p w14:paraId="76A308D7"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167, inciso II e 176, parágrafo 1º, inciso II, item 4, inciso III, item 2, e 213, inciso I, alínea “g”, da LRP e artigo 713 do CNCGFE/SC.</w:t>
            </w:r>
          </w:p>
          <w:p w14:paraId="6797158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14:paraId="2A215B12"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706, parágrafo 6º, e 713, parágrafos 8º e 9º, do CNCGFE/SC.</w:t>
            </w:r>
          </w:p>
        </w:tc>
        <w:tc>
          <w:tcPr>
            <w:tcW w:w="581" w:type="dxa"/>
          </w:tcPr>
          <w:p w14:paraId="5CAF8D84"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55D4E1D6" w14:textId="77777777" w:rsidR="00715D8B" w:rsidRDefault="00715D8B">
            <w:pPr>
              <w:spacing w:after="0"/>
              <w:jc w:val="both"/>
              <w:rPr>
                <w:rFonts w:ascii="Times New Roman" w:eastAsia="Times New Roman" w:hAnsi="Times New Roman" w:cs="Times New Roman"/>
                <w:sz w:val="20"/>
                <w:szCs w:val="20"/>
              </w:rPr>
            </w:pPr>
          </w:p>
        </w:tc>
      </w:tr>
      <w:tr w:rsidR="00715D8B" w14:paraId="545076F6" w14:textId="77777777">
        <w:tc>
          <w:tcPr>
            <w:tcW w:w="465" w:type="dxa"/>
          </w:tcPr>
          <w:p w14:paraId="11CC16FC"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8" w:type="dxa"/>
          </w:tcPr>
          <w:p w14:paraId="5D9A8CA0"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outorgados (adquirentes e credores fiduciários)?</w:t>
            </w:r>
          </w:p>
          <w:p w14:paraId="0D11B01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alienação fiduciária poderá ser contratada por pessoa física ou jurídica, não sendo privativa das entidades que operam no SFI.</w:t>
            </w:r>
          </w:p>
          <w:p w14:paraId="7A9E282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 parágrafo 1º, da Lei 9.514/1997.</w:t>
            </w:r>
          </w:p>
          <w:p w14:paraId="2076E497"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elementos mínimos para qualificação das pessoas físicas são: nome, nacionalidade, CPF, estado civil e endereço e para as pessoas jurídicas: denominação social, CNPJ, sede e representantes.</w:t>
            </w:r>
          </w:p>
          <w:p w14:paraId="0C2C43E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14:paraId="1935E6F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dispensável a qualificação completa do cônjuge ou companheiro quando pactuado o regime da separação absoluta de bens, bastando a indicação do nome do cônjuge ou companheiro.</w:t>
            </w:r>
          </w:p>
          <w:p w14:paraId="43EA306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havendo declaração de convivência em união estável, devemos presumir a sua ausência.</w:t>
            </w:r>
          </w:p>
          <w:p w14:paraId="0A4EB7E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parágrafo 1º, inciso III, item 2, alíneas “a” e “b”, da LRP e artigo 706 do CNCGFE/SC.</w:t>
            </w:r>
          </w:p>
          <w:p w14:paraId="08F106E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14:paraId="21A1E54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Nas hipóteses acima, devemos realizar uma averbação autônoma, após o registro do título, para publicizar o registro da convenção no Livro 3/RA.</w:t>
            </w:r>
          </w:p>
          <w:p w14:paraId="5AE5416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Na ausência de informação sobre o regime de bens adotado para a união estável, devemos presumir o regime legal da comunhão parcial.</w:t>
            </w:r>
          </w:p>
          <w:p w14:paraId="280A4B15"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244 da LRP e artigos 707 e 729 do CNCGFE/SC.</w:t>
            </w:r>
          </w:p>
        </w:tc>
        <w:tc>
          <w:tcPr>
            <w:tcW w:w="581" w:type="dxa"/>
          </w:tcPr>
          <w:p w14:paraId="2DEF2F7C"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4BFD6D21" w14:textId="77777777" w:rsidR="00715D8B" w:rsidRDefault="00715D8B">
            <w:pPr>
              <w:spacing w:after="0"/>
              <w:jc w:val="both"/>
              <w:rPr>
                <w:rFonts w:ascii="Times New Roman" w:eastAsia="Times New Roman" w:hAnsi="Times New Roman" w:cs="Times New Roman"/>
                <w:sz w:val="20"/>
                <w:szCs w:val="20"/>
              </w:rPr>
            </w:pPr>
          </w:p>
        </w:tc>
      </w:tr>
      <w:tr w:rsidR="00715D8B" w14:paraId="076AA6B6" w14:textId="77777777">
        <w:tc>
          <w:tcPr>
            <w:tcW w:w="465" w:type="dxa"/>
          </w:tcPr>
          <w:p w14:paraId="2DF08B6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08" w:type="dxa"/>
          </w:tcPr>
          <w:p w14:paraId="002054DF"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qualificação dos imóveis?</w:t>
            </w:r>
          </w:p>
          <w:p w14:paraId="7364A4CF"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os imóveis tenham matrículas próprias, pode ser consignado no título somente a localização completa e o número da matrícula, não havendo necessidade da transcrição completa da descrição.</w:t>
            </w:r>
          </w:p>
          <w:p w14:paraId="7713831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parágrafo 1º, da Lei 7.433/1985 e artigo 222 da LRP.</w:t>
            </w:r>
          </w:p>
          <w:p w14:paraId="42984B17"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14:paraId="67858D71"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e 225 da LRP.</w:t>
            </w:r>
          </w:p>
          <w:p w14:paraId="09900AF6"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no título indícios da existência de parcelamento de solo clandestino, devemos encaminhar Ofício para o Ministério Público, com cópia da documentação apresentada.</w:t>
            </w:r>
          </w:p>
          <w:p w14:paraId="760129D9"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1.038 do CNCGFE/SC.</w:t>
            </w:r>
          </w:p>
          <w:p w14:paraId="25AF69A9"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w:t>
            </w:r>
            <w:r>
              <w:rPr>
                <w:rFonts w:ascii="Times New Roman" w:eastAsia="Times New Roman" w:hAnsi="Times New Roman" w:cs="Times New Roman"/>
                <w:sz w:val="20"/>
                <w:szCs w:val="20"/>
              </w:rPr>
              <w:t xml:space="preserve">rever algum ato em que a conferência dos elementos de qualificação do imóvel seja imprescindível, como por exemplo: atingimento do sistema viário, unificação, parcelamento do solo, incorporação imobiliária, instituição de condomínio, etc. </w:t>
            </w:r>
          </w:p>
          <w:p w14:paraId="55754DBD"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Decisão proferida em 05/02/2018 no Processo SAE 11278-LAUNSO, pelo Juiz - Diretor do Foro da Comarca da Capital/SC.</w:t>
            </w:r>
          </w:p>
          <w:p w14:paraId="1034213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seja a primeira alienação ou oneração prenotada após o registro da incorporação, devemos observar se decorreu o prazo de 180 dias para concretização da incorporação. Considera-se concretizada a incorporação quando ocorrer uma das seguintes hipóteses: (a) formalização da alienação ou da oneração de alguma unidade futura, comprovada mediante a apresentação de instrumento de promessa de compra e venda ou da venda definitiva; (b) contratação de financiamento para a construção; ou (c) início das obras do </w:t>
            </w:r>
            <w:r>
              <w:rPr>
                <w:rFonts w:ascii="Times New Roman" w:eastAsia="Times New Roman" w:hAnsi="Times New Roman" w:cs="Times New Roman"/>
                <w:sz w:val="20"/>
                <w:szCs w:val="20"/>
              </w:rPr>
              <w:t>empreendimento, a ser comprovada mediante declaração do incorporador.</w:t>
            </w:r>
          </w:p>
          <w:p w14:paraId="3AEB988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Se for possível a comprovação, devemos realizar uma averbação na matrícula para constar a concretização da incorporação. Todavia, se o incorporador não puder comprovar, deverá apresentar requerimento e as certidões e documentos, quando estes estiverem com prazo de validade vencido, previstos no artigo 32 da Lei 4.591/1964, para averbação da revalidação do registro.</w:t>
            </w:r>
          </w:p>
          <w:p w14:paraId="7B47EA9A"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33 da Lei 4.591/1964 e artigo 1.078 do CNCGFE/SC.  </w:t>
            </w:r>
          </w:p>
        </w:tc>
        <w:tc>
          <w:tcPr>
            <w:tcW w:w="581" w:type="dxa"/>
          </w:tcPr>
          <w:p w14:paraId="11001B8C"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4C2D783D" w14:textId="77777777" w:rsidR="00715D8B" w:rsidRDefault="00715D8B">
            <w:pPr>
              <w:spacing w:after="0"/>
              <w:jc w:val="both"/>
              <w:rPr>
                <w:rFonts w:ascii="Times New Roman" w:eastAsia="Times New Roman" w:hAnsi="Times New Roman" w:cs="Times New Roman"/>
                <w:sz w:val="20"/>
                <w:szCs w:val="20"/>
              </w:rPr>
            </w:pPr>
          </w:p>
        </w:tc>
      </w:tr>
      <w:tr w:rsidR="00715D8B" w14:paraId="57EBAE4F" w14:textId="77777777">
        <w:tc>
          <w:tcPr>
            <w:tcW w:w="465" w:type="dxa"/>
          </w:tcPr>
          <w:p w14:paraId="218A52D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08" w:type="dxa"/>
          </w:tcPr>
          <w:p w14:paraId="5298907E"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imóveis são urbanos?</w:t>
            </w:r>
          </w:p>
          <w:p w14:paraId="41EC06D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14:paraId="16CE5FFD"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 constar no título ou ser apresentada a Certidão Negativa de Débitos Relativos ao Imposto sobre a Propriedade Territorial Rural (CND-ITR) ou a declaração de dispensa dos outorgados. </w:t>
            </w:r>
          </w:p>
          <w:p w14:paraId="06451B2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seja rural e o objeto da transferência seja parte do imóvel da matrícula, devemos observar os requisitos para parcelamento do solo.</w:t>
            </w:r>
          </w:p>
          <w:p w14:paraId="242F10B1" w14:textId="77777777" w:rsidR="00715D8B" w:rsidRDefault="0093070D">
            <w:pPr>
              <w:spacing w:after="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seja rural e esteja sendo adquirido por pessoa estrangeira, física ou jurídica, devemos observar os requisitos da Lei 5.709/1971. </w:t>
            </w:r>
          </w:p>
          <w:p w14:paraId="3CA01D4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na matrícula a informação de que o imóvel é rural, mas o imóvel não tenha tal destinação, deve ser apresentado, em protocolo separado, ofício de cancelamento do cadastro expedido pelo INCRA.</w:t>
            </w:r>
          </w:p>
          <w:p w14:paraId="658F4757"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14:paraId="44B0B0B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trate-se de imóvel cadastrado como área de marinha deve constar no título ou ser apresentada a Certidão de Autorização de Transferência (CAT), com menção ao número do Registro Imobiliário Patrimonial (RIP).</w:t>
            </w:r>
          </w:p>
          <w:p w14:paraId="4977593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1º e 2º do Decreto-Lei 9.760/1946, artigos 1º e 2º da Lei 9.636/1998 e artigos 3º e 3º-A do Decreto-Lei 2.398/1987.</w:t>
            </w:r>
          </w:p>
          <w:p w14:paraId="02A6171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imóveis de marinha sob o regime de ocupação, com títulos lavrados entre particulares até 10/06/2014, não devemos exigir a apresentação da CAT.</w:t>
            </w:r>
          </w:p>
          <w:p w14:paraId="38D119E9"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7º, parágrafo 7º da Lei 9.636/1998 e artigo 8º, parágrafo 4º da Instrução Normativa 01/2018 da Secretaria do Patrimônio da União (SPU). </w:t>
            </w:r>
          </w:p>
        </w:tc>
        <w:tc>
          <w:tcPr>
            <w:tcW w:w="581" w:type="dxa"/>
          </w:tcPr>
          <w:p w14:paraId="48DBD4D7"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34811ABE" w14:textId="77777777" w:rsidR="00715D8B" w:rsidRDefault="00715D8B">
            <w:pPr>
              <w:spacing w:after="0"/>
              <w:jc w:val="both"/>
              <w:rPr>
                <w:rFonts w:ascii="Times New Roman" w:eastAsia="Times New Roman" w:hAnsi="Times New Roman" w:cs="Times New Roman"/>
                <w:sz w:val="20"/>
                <w:szCs w:val="20"/>
              </w:rPr>
            </w:pPr>
          </w:p>
        </w:tc>
      </w:tr>
      <w:tr w:rsidR="00715D8B" w14:paraId="0073BF14" w14:textId="77777777">
        <w:tc>
          <w:tcPr>
            <w:tcW w:w="465" w:type="dxa"/>
          </w:tcPr>
          <w:p w14:paraId="078AEAE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08" w:type="dxa"/>
          </w:tcPr>
          <w:p w14:paraId="7761C64D"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Deve ser efetuada alguma inscrição referente ao imóvel (inscrição imobiliária, logradouro, construção, desmembramento, incorporação imobiliária, unificação, CAR, etc.)?</w:t>
            </w:r>
          </w:p>
          <w:p w14:paraId="7D016EE1" w14:textId="77777777" w:rsidR="00715D8B" w:rsidRDefault="0093070D">
            <w:pPr>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14:paraId="3B07B822"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parágrafo 1º, inciso II, item 3, alíneas “a” e “b”, 212, 213 e 225, todos da LRP.</w:t>
            </w:r>
          </w:p>
          <w:p w14:paraId="322FB6B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14:paraId="6B812D1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701, parágrafo 2º, do CNCGFE/SC.</w:t>
            </w:r>
          </w:p>
          <w:p w14:paraId="55ABEEC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ascii="Times New Roman" w:eastAsia="Times New Roman" w:hAnsi="Times New Roman" w:cs="Times New Roman"/>
                <w:i/>
                <w:sz w:val="20"/>
                <w:szCs w:val="20"/>
              </w:rPr>
              <w:t>habite-se</w:t>
            </w:r>
            <w:r>
              <w:rPr>
                <w:rFonts w:ascii="Times New Roman" w:eastAsia="Times New Roman" w:hAnsi="Times New Roman" w:cs="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14:paraId="3FF401EA"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lastRenderedPageBreak/>
              <w:t>Fundamento</w:t>
            </w:r>
            <w:r>
              <w:rPr>
                <w:rFonts w:ascii="Times New Roman" w:eastAsia="Times New Roman" w:hAnsi="Times New Roman" w:cs="Times New Roman"/>
                <w:sz w:val="20"/>
                <w:szCs w:val="20"/>
              </w:rPr>
              <w:t xml:space="preserve">: artigo 798 do CNCGFE/SC.  </w:t>
            </w:r>
          </w:p>
        </w:tc>
        <w:tc>
          <w:tcPr>
            <w:tcW w:w="581" w:type="dxa"/>
          </w:tcPr>
          <w:p w14:paraId="0EFA3BA3"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30CE9696" w14:textId="77777777" w:rsidR="00715D8B" w:rsidRDefault="00715D8B">
            <w:pPr>
              <w:spacing w:after="0"/>
              <w:jc w:val="both"/>
              <w:rPr>
                <w:rFonts w:ascii="Times New Roman" w:eastAsia="Times New Roman" w:hAnsi="Times New Roman" w:cs="Times New Roman"/>
                <w:sz w:val="20"/>
                <w:szCs w:val="20"/>
              </w:rPr>
            </w:pPr>
          </w:p>
        </w:tc>
      </w:tr>
      <w:tr w:rsidR="00715D8B" w14:paraId="6CC8D1C9" w14:textId="77777777">
        <w:tc>
          <w:tcPr>
            <w:tcW w:w="465" w:type="dxa"/>
          </w:tcPr>
          <w:p w14:paraId="737619C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08" w:type="dxa"/>
          </w:tcPr>
          <w:p w14:paraId="14C824B7"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os valores individualizados dos imóveis?</w:t>
            </w:r>
          </w:p>
          <w:p w14:paraId="5D3546B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o título envolver mais de um imóvel, é necessária a especificação do valor de cada um individualmente, mesmo que se trate de unidades autônomas de condomínios edilícios, como apartamentos, vagas de garagem e hobby-box.</w:t>
            </w:r>
          </w:p>
          <w:p w14:paraId="5FE5AF5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os valores não estejam individualizados, é possível a retificação do título ou a apresentação de uma declaração apartada, firmada por um dos outorgados sob sua responsabilidade.</w:t>
            </w:r>
          </w:p>
          <w:p w14:paraId="0984A1E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Se apresentada declaração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das plataformas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Gov.br.</w:t>
            </w:r>
          </w:p>
          <w:p w14:paraId="4043FA14"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176, inciso III, item 5, e 221, inciso II, da LRP, artigo 6º da Lei Complementar 755/2019 e artigos 762 e 784 do CNCGJ/SC.</w:t>
            </w:r>
          </w:p>
        </w:tc>
        <w:tc>
          <w:tcPr>
            <w:tcW w:w="581" w:type="dxa"/>
          </w:tcPr>
          <w:p w14:paraId="0ADD9EF8"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7328516E" w14:textId="77777777" w:rsidR="00715D8B" w:rsidRDefault="00715D8B">
            <w:pPr>
              <w:spacing w:after="0"/>
              <w:jc w:val="both"/>
              <w:rPr>
                <w:rFonts w:ascii="Times New Roman" w:eastAsia="Times New Roman" w:hAnsi="Times New Roman" w:cs="Times New Roman"/>
                <w:sz w:val="20"/>
                <w:szCs w:val="20"/>
              </w:rPr>
            </w:pPr>
          </w:p>
        </w:tc>
      </w:tr>
      <w:tr w:rsidR="00715D8B" w14:paraId="773D1086" w14:textId="77777777">
        <w:tc>
          <w:tcPr>
            <w:tcW w:w="465" w:type="dxa"/>
          </w:tcPr>
          <w:p w14:paraId="6F24EA5A"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8" w:type="dxa"/>
          </w:tcPr>
          <w:p w14:paraId="763F72E8"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valores declarados pelas partes, para o negócio jurídico e/ou para fins de lançamento fiscal, apresentam dissonância com o valor de mercado do imóvel?</w:t>
            </w:r>
          </w:p>
          <w:p w14:paraId="7B2823F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ascii="Times New Roman" w:eastAsia="Times New Roman" w:hAnsi="Times New Roman" w:cs="Times New Roman"/>
                <w:i/>
                <w:sz w:val="20"/>
                <w:szCs w:val="20"/>
              </w:rPr>
              <w:t>sites</w:t>
            </w:r>
            <w:r>
              <w:rPr>
                <w:rFonts w:ascii="Times New Roman" w:eastAsia="Times New Roman" w:hAnsi="Times New Roman" w:cs="Times New Roman"/>
                <w:sz w:val="20"/>
                <w:szCs w:val="20"/>
              </w:rPr>
              <w:t xml:space="preserve"> de compra e venda de imóveis ou de imobiliárias, tabela FIPE, valor de avaliação fiscal, entre outros. </w:t>
            </w:r>
          </w:p>
          <w:p w14:paraId="4DF9AEE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Encontrado valor de mercado acima do valor declarado, devemos solicitar declaração de valor de mercado, indicando qual o parâmetro utilizado para impugnação, bem como a complementação dos custos de registro.</w:t>
            </w:r>
          </w:p>
          <w:p w14:paraId="7EB78F7C"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 valor de mercado servirá, exclusivamente, como base de cálculo dos emolumentos, FRJ e ISS, não sendo necessária a complementação de outros tributos incidentes sobre o ato. </w:t>
            </w:r>
          </w:p>
          <w:p w14:paraId="63087165"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320 do CNCGFE/SC e artigo 6º, parágrafo 3º, da Lei Complementar 755/2019.</w:t>
            </w:r>
          </w:p>
          <w:p w14:paraId="55F3188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da plataforma do Gov.br.</w:t>
            </w:r>
          </w:p>
          <w:p w14:paraId="6A005E36"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221, inciso II, da Lei 6.015/1973 e artigo 762 do CNCGFE/SC. </w:t>
            </w:r>
          </w:p>
        </w:tc>
        <w:tc>
          <w:tcPr>
            <w:tcW w:w="581" w:type="dxa"/>
          </w:tcPr>
          <w:p w14:paraId="2B2B2ACA"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321553D0" w14:textId="77777777" w:rsidR="00715D8B" w:rsidRDefault="00715D8B">
            <w:pPr>
              <w:spacing w:after="0"/>
              <w:jc w:val="both"/>
              <w:rPr>
                <w:rFonts w:ascii="Times New Roman" w:eastAsia="Times New Roman" w:hAnsi="Times New Roman" w:cs="Times New Roman"/>
                <w:sz w:val="20"/>
                <w:szCs w:val="20"/>
              </w:rPr>
            </w:pPr>
          </w:p>
        </w:tc>
      </w:tr>
      <w:tr w:rsidR="00715D8B" w14:paraId="42578754" w14:textId="77777777">
        <w:tc>
          <w:tcPr>
            <w:tcW w:w="465" w:type="dxa"/>
          </w:tcPr>
          <w:p w14:paraId="7CAFED3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8" w:type="dxa"/>
          </w:tcPr>
          <w:p w14:paraId="042B9592"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as seguintes informações?</w:t>
            </w:r>
          </w:p>
          <w:p w14:paraId="1715C60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valor da dívida, sua estimação ou se valor máximo;</w:t>
            </w:r>
          </w:p>
          <w:p w14:paraId="3959BE2D"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prazo e as condições de reposição do empréstimo ou do crédito do fiduciário;</w:t>
            </w:r>
          </w:p>
          <w:p w14:paraId="42E1857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taxa de juros e os encargos incidentes;</w:t>
            </w:r>
          </w:p>
          <w:p w14:paraId="60C9D3C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cláusula de constituição da propriedade fiduciária, com a descrição do imóvel objeto da alienação fiduciária e a indicação do título e modo de aquisição;</w:t>
            </w:r>
          </w:p>
          <w:p w14:paraId="39CEB0A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cláusula assegurando ao fiduciante a livre utilização, por sua conta e risco, do imóvel objeto da alienação fiduciária, exceto na hipótese de inadimplência;</w:t>
            </w:r>
          </w:p>
          <w:p w14:paraId="495B6FA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indicação, para efeito de venda em público leilão, do valor do imóvel e dos critérios para a respectiva revisão; e</w:t>
            </w:r>
          </w:p>
          <w:p w14:paraId="53D6241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cláusula que disponha sobre os procedimentos de que tratam os artigos 26-A, 27 e 27-A da Lei 9.514/1997.</w:t>
            </w:r>
          </w:p>
          <w:p w14:paraId="5934685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24 da Lei 9.514/1997.</w:t>
            </w:r>
          </w:p>
        </w:tc>
        <w:tc>
          <w:tcPr>
            <w:tcW w:w="581" w:type="dxa"/>
          </w:tcPr>
          <w:p w14:paraId="4A92C7F6"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7C0E0EB7" w14:textId="77777777" w:rsidR="00715D8B" w:rsidRDefault="00715D8B">
            <w:pPr>
              <w:spacing w:after="0"/>
              <w:jc w:val="both"/>
              <w:rPr>
                <w:rFonts w:ascii="Times New Roman" w:eastAsia="Times New Roman" w:hAnsi="Times New Roman" w:cs="Times New Roman"/>
                <w:sz w:val="20"/>
                <w:szCs w:val="20"/>
              </w:rPr>
            </w:pPr>
          </w:p>
        </w:tc>
      </w:tr>
      <w:tr w:rsidR="00715D8B" w14:paraId="59334E52" w14:textId="77777777">
        <w:tc>
          <w:tcPr>
            <w:tcW w:w="465" w:type="dxa"/>
          </w:tcPr>
          <w:p w14:paraId="32EF7D4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3</w:t>
            </w:r>
          </w:p>
        </w:tc>
        <w:tc>
          <w:tcPr>
            <w:tcW w:w="8508" w:type="dxa"/>
          </w:tcPr>
          <w:p w14:paraId="28A6E05F"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 certidão negativa de débitos federais relativa ao outorgante?</w:t>
            </w:r>
          </w:p>
          <w:p w14:paraId="24FA577B"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14:paraId="32FAE1A7"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w:t>
            </w:r>
            <w:r>
              <w:rPr>
                <w:rFonts w:ascii="Times New Roman" w:eastAsia="Times New Roman" w:hAnsi="Times New Roman" w:cs="Times New Roman"/>
                <w:sz w:val="20"/>
                <w:szCs w:val="20"/>
              </w:rPr>
              <w:t>ntanto que os imóveis objetos da transação estejam contabilmente lançados no seu ativo circulante e não tenham constado, em seu ativo permanente.</w:t>
            </w:r>
          </w:p>
          <w:p w14:paraId="5DAF8095"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14:paraId="30E4C7D2"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47, inciso I, alínea “b”, da Lei 8.212/1991, artigo 680, parágrafo único, do CNCGFE/SC e artigos 1º e 17 da Portaria Conjunta RFB-PGFN 1.751/2014.</w:t>
            </w:r>
          </w:p>
          <w:p w14:paraId="53D28826"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ascii="Times New Roman" w:eastAsia="Times New Roman" w:hAnsi="Times New Roman" w:cs="Times New Roman"/>
                <w:i/>
                <w:sz w:val="20"/>
                <w:szCs w:val="20"/>
              </w:rPr>
              <w:t>e</w:t>
            </w:r>
            <w:r>
              <w:rPr>
                <w:rFonts w:ascii="Times New Roman" w:eastAsia="Times New Roman" w:hAnsi="Times New Roman" w:cs="Times New Roman"/>
                <w:sz w:val="20"/>
                <w:szCs w:val="20"/>
              </w:rPr>
              <w:t>-Notariado” ou do “Portal Gov.br”.</w:t>
            </w:r>
          </w:p>
          <w:p w14:paraId="4EBDF0DF"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221, inciso II, da LRP e artigo 762 do CNCGFE/SC.</w:t>
            </w:r>
          </w:p>
        </w:tc>
        <w:tc>
          <w:tcPr>
            <w:tcW w:w="581" w:type="dxa"/>
          </w:tcPr>
          <w:p w14:paraId="67CE7765"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76C75C78" w14:textId="77777777" w:rsidR="00715D8B" w:rsidRDefault="00715D8B">
            <w:pPr>
              <w:spacing w:after="0"/>
              <w:jc w:val="both"/>
              <w:rPr>
                <w:rFonts w:ascii="Times New Roman" w:eastAsia="Times New Roman" w:hAnsi="Times New Roman" w:cs="Times New Roman"/>
                <w:sz w:val="20"/>
                <w:szCs w:val="20"/>
              </w:rPr>
            </w:pPr>
          </w:p>
        </w:tc>
      </w:tr>
      <w:tr w:rsidR="00715D8B" w14:paraId="4632E13F" w14:textId="77777777">
        <w:tc>
          <w:tcPr>
            <w:tcW w:w="465" w:type="dxa"/>
          </w:tcPr>
          <w:p w14:paraId="20507AD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w:t>
            </w:r>
          </w:p>
        </w:tc>
        <w:tc>
          <w:tcPr>
            <w:tcW w:w="8508" w:type="dxa"/>
          </w:tcPr>
          <w:p w14:paraId="4A84E517"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Caso os imóveis sejam unidades autônomas, consta no título a apresentação da prova de quitação dos débitos condominiais ou a declaração de dispensa?</w:t>
            </w:r>
          </w:p>
          <w:p w14:paraId="6755878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quitação pode ser comprovada mediante declaração do outorgante, do síndico ou da administradora do condomínio. Ademais, o outorgado pode dispensar a apresentação da comprovação de quitação ou da declaração do outorgante, assumindo eventual dívida existente.</w:t>
            </w:r>
          </w:p>
          <w:p w14:paraId="573D66FD"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no título, o mesmo poderá ser retificado ou a comprovação da quitação ou a declaração de dispensa pode ser apresentada apartada.</w:t>
            </w:r>
          </w:p>
          <w:p w14:paraId="69A4D80A"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14:paraId="7400F98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14:paraId="6472BB7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é necessária a prova de quitação nas transferências de unidades autônomas em fase de incorporação imobiliária.</w:t>
            </w:r>
          </w:p>
          <w:p w14:paraId="208DA576"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4º, parágrafo único, da Lei 4.591/1964, artigo 221, inciso II, da LRP e artigos 762 e 813 do CNCGFE/SC.</w:t>
            </w:r>
          </w:p>
        </w:tc>
        <w:tc>
          <w:tcPr>
            <w:tcW w:w="581" w:type="dxa"/>
          </w:tcPr>
          <w:p w14:paraId="75115750"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354F81CA" w14:textId="77777777" w:rsidR="00715D8B" w:rsidRDefault="00715D8B">
            <w:pPr>
              <w:spacing w:after="0"/>
              <w:jc w:val="both"/>
              <w:rPr>
                <w:rFonts w:ascii="Times New Roman" w:eastAsia="Times New Roman" w:hAnsi="Times New Roman" w:cs="Times New Roman"/>
                <w:sz w:val="20"/>
                <w:szCs w:val="20"/>
              </w:rPr>
            </w:pPr>
          </w:p>
        </w:tc>
      </w:tr>
      <w:tr w:rsidR="00715D8B" w14:paraId="0681A0BC" w14:textId="77777777">
        <w:tc>
          <w:tcPr>
            <w:tcW w:w="465" w:type="dxa"/>
          </w:tcPr>
          <w:p w14:paraId="28F816F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508" w:type="dxa"/>
          </w:tcPr>
          <w:p w14:paraId="5094C1FD"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das certidões de ônus reais e de ações reais e pessoais reipersecutórias incidentes sobre o imóvel?</w:t>
            </w:r>
          </w:p>
          <w:p w14:paraId="75E2E7B7"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14:paraId="1CE04B66"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14:paraId="63B93B87"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certidão da situação jurídica atualizada do imóvel não substitui as certidões mencionadas acima.</w:t>
            </w:r>
          </w:p>
          <w:p w14:paraId="542DA214"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1º, parágrafo 2º, da Lei 7.433/1985, artigo 1º, inciso IV, do Decreto 93.240/1986 e artigo 770 do CNCGFE/SC. </w:t>
            </w:r>
          </w:p>
        </w:tc>
        <w:tc>
          <w:tcPr>
            <w:tcW w:w="581" w:type="dxa"/>
          </w:tcPr>
          <w:p w14:paraId="75AFB2A7"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7065A541" w14:textId="77777777" w:rsidR="00715D8B" w:rsidRDefault="00715D8B">
            <w:pPr>
              <w:spacing w:after="0"/>
              <w:jc w:val="both"/>
              <w:rPr>
                <w:rFonts w:ascii="Times New Roman" w:eastAsia="Times New Roman" w:hAnsi="Times New Roman" w:cs="Times New Roman"/>
                <w:sz w:val="20"/>
                <w:szCs w:val="20"/>
              </w:rPr>
            </w:pPr>
          </w:p>
        </w:tc>
      </w:tr>
      <w:tr w:rsidR="00715D8B" w14:paraId="2497C62A" w14:textId="77777777">
        <w:tc>
          <w:tcPr>
            <w:tcW w:w="465" w:type="dxa"/>
          </w:tcPr>
          <w:p w14:paraId="35FFF1FD"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8" w:type="dxa"/>
          </w:tcPr>
          <w:p w14:paraId="36F33866"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Consta no título a apresentação das certidões de débitos municipais relativas aos imóveis ou a declaração de dispensa pelos outorgados?</w:t>
            </w:r>
          </w:p>
          <w:p w14:paraId="2BC77174" w14:textId="77777777" w:rsidR="00715D8B" w:rsidRDefault="0093070D">
            <w:pPr>
              <w:tabs>
                <w:tab w:val="left" w:pos="1162"/>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Caso não conste, o título poderá ser retificado para consigná-la ou poderá ser apresentada em documento apartado.</w:t>
            </w:r>
          </w:p>
          <w:p w14:paraId="1D584529"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1º, parágrafo 2º, da Lei 7.433/1985 e artigo 1º, inciso III, alínea “a”, do Decreto 93.240/1986.</w:t>
            </w:r>
          </w:p>
        </w:tc>
        <w:tc>
          <w:tcPr>
            <w:tcW w:w="581" w:type="dxa"/>
          </w:tcPr>
          <w:p w14:paraId="5E61FD73"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70451086" w14:textId="77777777" w:rsidR="00715D8B" w:rsidRDefault="00715D8B">
            <w:pPr>
              <w:spacing w:after="0"/>
              <w:jc w:val="both"/>
              <w:rPr>
                <w:rFonts w:ascii="Times New Roman" w:eastAsia="Times New Roman" w:hAnsi="Times New Roman" w:cs="Times New Roman"/>
                <w:sz w:val="20"/>
                <w:szCs w:val="20"/>
              </w:rPr>
            </w:pPr>
          </w:p>
        </w:tc>
      </w:tr>
      <w:tr w:rsidR="00715D8B" w14:paraId="2E9A2AF1" w14:textId="77777777">
        <w:tc>
          <w:tcPr>
            <w:tcW w:w="465" w:type="dxa"/>
          </w:tcPr>
          <w:p w14:paraId="6D99F8DF"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08" w:type="dxa"/>
          </w:tcPr>
          <w:p w14:paraId="46ED6505"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Sobre os imóveis incide algum ônus ou ação judicial?</w:t>
            </w:r>
          </w:p>
          <w:p w14:paraId="1C493AC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algum ônus ou ação não impeditivo de alienação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hipoteca e penhora comuns, servidão, etc.), os outorgados devem declarar ciência.</w:t>
            </w:r>
          </w:p>
          <w:p w14:paraId="40607C1F"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1º da LRP e artigo 1º da Lei 8.935/1994.</w:t>
            </w:r>
          </w:p>
          <w:p w14:paraId="508681F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na matrícula contiver registro de compromisso de compra e venda relativo à compra e venda apresentada, devemos averbar, após o registro da compra e venda, o cancelamento dos efeitos do registro do compromisso de compra e venda.</w:t>
            </w:r>
          </w:p>
          <w:p w14:paraId="533485E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artigos 700 e 808, inciso I, do CNCGFE/SC.</w:t>
            </w:r>
          </w:p>
          <w:p w14:paraId="21017FA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conste algum ônus ou ação impeditivo de alienação (</w:t>
            </w:r>
            <w:proofErr w:type="spellStart"/>
            <w:r>
              <w:rPr>
                <w:rFonts w:ascii="Times New Roman" w:eastAsia="Times New Roman" w:hAnsi="Times New Roman" w:cs="Times New Roman"/>
                <w:sz w:val="20"/>
                <w:szCs w:val="20"/>
              </w:rPr>
              <w:t>ex</w:t>
            </w:r>
            <w:proofErr w:type="spellEnd"/>
            <w:r>
              <w:rPr>
                <w:rFonts w:ascii="Times New Roman" w:eastAsia="Times New Roman" w:hAnsi="Times New Roman" w:cs="Times New Roman"/>
                <w:sz w:val="20"/>
                <w:szCs w:val="20"/>
              </w:rPr>
              <w:t>: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14:paraId="518A0A5F"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w:t>
            </w:r>
            <w:r>
              <w:rPr>
                <w:rFonts w:ascii="Times New Roman" w:eastAsia="Times New Roman" w:hAnsi="Times New Roman" w:cs="Times New Roman"/>
                <w:sz w:val="20"/>
                <w:szCs w:val="20"/>
              </w:rPr>
              <w:t xml:space="preserve">e Provimento 39/2014 do CNJ (indisponibilidade).   </w:t>
            </w:r>
          </w:p>
        </w:tc>
        <w:tc>
          <w:tcPr>
            <w:tcW w:w="581" w:type="dxa"/>
          </w:tcPr>
          <w:p w14:paraId="37BCB1E8"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5D01F17D" w14:textId="77777777" w:rsidR="00715D8B" w:rsidRDefault="00715D8B">
            <w:pPr>
              <w:spacing w:after="0"/>
              <w:jc w:val="both"/>
              <w:rPr>
                <w:rFonts w:ascii="Times New Roman" w:eastAsia="Times New Roman" w:hAnsi="Times New Roman" w:cs="Times New Roman"/>
                <w:sz w:val="20"/>
                <w:szCs w:val="20"/>
              </w:rPr>
            </w:pPr>
          </w:p>
        </w:tc>
      </w:tr>
      <w:tr w:rsidR="00715D8B" w14:paraId="2A2E3F62" w14:textId="77777777">
        <w:tc>
          <w:tcPr>
            <w:tcW w:w="465" w:type="dxa"/>
          </w:tcPr>
          <w:p w14:paraId="6B6E33E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508" w:type="dxa"/>
          </w:tcPr>
          <w:p w14:paraId="7DCAAC70"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Consta no título o recolhimento do Imposto sobre a Transmissão Onerosa de Bens Imóveis por Ato </w:t>
            </w:r>
            <w:r>
              <w:rPr>
                <w:rFonts w:ascii="Times New Roman" w:eastAsia="Times New Roman" w:hAnsi="Times New Roman" w:cs="Times New Roman"/>
                <w:b/>
                <w:i/>
                <w:sz w:val="20"/>
                <w:szCs w:val="20"/>
                <w:u w:val="single"/>
              </w:rPr>
              <w:t xml:space="preserve">Inter Vivos </w:t>
            </w:r>
            <w:r>
              <w:rPr>
                <w:rFonts w:ascii="Times New Roman" w:eastAsia="Times New Roman" w:hAnsi="Times New Roman" w:cs="Times New Roman"/>
                <w:b/>
                <w:sz w:val="20"/>
                <w:szCs w:val="20"/>
                <w:u w:val="single"/>
              </w:rPr>
              <w:t>(ITBI)?</w:t>
            </w:r>
          </w:p>
          <w:p w14:paraId="63463E7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Deve constar, ainda, os valores declarados para fins de lançamento do ITBI relativos a cada imóvel. Caso estes valores sejam iguais aos declarados pelas partes para o negócio jurídico, pode constar no título apenas o valor total declarado.</w:t>
            </w:r>
          </w:p>
          <w:p w14:paraId="18D67BB3"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812 do CNCGFE/SC, artigos 283, inciso III, e 287 do Código Tributário do Município de Florianópolis/SC, artigo 134, inciso VI, do Código Tributário Nacional, artigo 289 da LRP e artigo 30, inciso XI, da Lei 8.935/1994.</w:t>
            </w:r>
          </w:p>
        </w:tc>
        <w:tc>
          <w:tcPr>
            <w:tcW w:w="581" w:type="dxa"/>
          </w:tcPr>
          <w:p w14:paraId="77544529"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76EE2C81" w14:textId="77777777" w:rsidR="00715D8B" w:rsidRDefault="00715D8B">
            <w:pPr>
              <w:spacing w:after="0"/>
              <w:jc w:val="both"/>
              <w:rPr>
                <w:rFonts w:ascii="Times New Roman" w:eastAsia="Times New Roman" w:hAnsi="Times New Roman" w:cs="Times New Roman"/>
                <w:sz w:val="20"/>
                <w:szCs w:val="20"/>
              </w:rPr>
            </w:pPr>
          </w:p>
        </w:tc>
      </w:tr>
      <w:tr w:rsidR="00715D8B" w14:paraId="62156793" w14:textId="77777777">
        <w:tc>
          <w:tcPr>
            <w:tcW w:w="465" w:type="dxa"/>
          </w:tcPr>
          <w:p w14:paraId="4B42697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08" w:type="dxa"/>
          </w:tcPr>
          <w:p w14:paraId="4DD401E5"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imóveis foram adquiridos ou transmitidos por um Fundo de Investimento Imobiliário (FII)?</w:t>
            </w:r>
          </w:p>
          <w:p w14:paraId="595992F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caso de aquisição pelo FII, deve constar no título de aquisição as restrições enumeradas nos incisos I a VI do artigo 7º da Lei nº 8.668/1993, assim como deve constar expressamente que o imóvel adquirido constitui patrimônio do FII. </w:t>
            </w:r>
          </w:p>
          <w:p w14:paraId="5C6819B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Após o registro da aquisição devemos averbar na matrícula do imóvel as restrições e o destaque acima </w:t>
            </w:r>
            <w:r>
              <w:rPr>
                <w:rFonts w:ascii="Times New Roman" w:eastAsia="Times New Roman" w:hAnsi="Times New Roman" w:cs="Times New Roman"/>
                <w:sz w:val="20"/>
                <w:szCs w:val="20"/>
              </w:rPr>
              <w:lastRenderedPageBreak/>
              <w:t>referido (averbação com valor).</w:t>
            </w:r>
          </w:p>
          <w:p w14:paraId="20AEA73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 caso de transmissão pelo FII, o título será o documento hábil para cancelamento da averbação mencionada no parágrafo anterior (averbação sem valor).</w:t>
            </w:r>
          </w:p>
          <w:p w14:paraId="6750E15C"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7º, parágrafos 1º e 2º e artigo 9º, da Lei 8.668/1993.</w:t>
            </w:r>
          </w:p>
        </w:tc>
        <w:tc>
          <w:tcPr>
            <w:tcW w:w="581" w:type="dxa"/>
          </w:tcPr>
          <w:p w14:paraId="24E2691B"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1CE6ECC1" w14:textId="77777777" w:rsidR="00715D8B" w:rsidRDefault="00715D8B">
            <w:pPr>
              <w:spacing w:after="0"/>
              <w:jc w:val="both"/>
              <w:rPr>
                <w:rFonts w:ascii="Times New Roman" w:eastAsia="Times New Roman" w:hAnsi="Times New Roman" w:cs="Times New Roman"/>
                <w:sz w:val="20"/>
                <w:szCs w:val="20"/>
              </w:rPr>
            </w:pPr>
          </w:p>
        </w:tc>
      </w:tr>
      <w:tr w:rsidR="00715D8B" w14:paraId="61405D7D" w14:textId="77777777">
        <w:trPr>
          <w:trHeight w:val="996"/>
        </w:trPr>
        <w:tc>
          <w:tcPr>
            <w:tcW w:w="465" w:type="dxa"/>
          </w:tcPr>
          <w:p w14:paraId="6A336CD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8" w:type="dxa"/>
          </w:tcPr>
          <w:p w14:paraId="51E31FF0"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Os recursos são oriundos de sistema de consórcio?</w:t>
            </w:r>
          </w:p>
          <w:p w14:paraId="114D1DFF"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positivo, após o registro da alienação fiduciária devemos realizar uma averbação para constar as restrições enumeradas nos incisos II a IV do parágrafo 5º do artigo 5º da Lei 11.795/2008.</w:t>
            </w:r>
          </w:p>
          <w:p w14:paraId="56847103"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5º, parágrafo 7º, da Lei 11.795/2008.</w:t>
            </w:r>
          </w:p>
        </w:tc>
        <w:tc>
          <w:tcPr>
            <w:tcW w:w="581" w:type="dxa"/>
          </w:tcPr>
          <w:p w14:paraId="31F074D4"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70BEC2B4" w14:textId="77777777" w:rsidR="00715D8B" w:rsidRDefault="00715D8B">
            <w:pPr>
              <w:spacing w:after="0"/>
              <w:jc w:val="both"/>
              <w:rPr>
                <w:rFonts w:ascii="Times New Roman" w:eastAsia="Times New Roman" w:hAnsi="Times New Roman" w:cs="Times New Roman"/>
                <w:sz w:val="20"/>
                <w:szCs w:val="20"/>
              </w:rPr>
            </w:pPr>
          </w:p>
        </w:tc>
      </w:tr>
      <w:tr w:rsidR="00715D8B" w14:paraId="490EDE18" w14:textId="77777777">
        <w:trPr>
          <w:trHeight w:val="996"/>
        </w:trPr>
        <w:tc>
          <w:tcPr>
            <w:tcW w:w="465" w:type="dxa"/>
          </w:tcPr>
          <w:p w14:paraId="7D4F660A"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08" w:type="dxa"/>
          </w:tcPr>
          <w:p w14:paraId="6A0A8178"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Foi apresentada uma Cédula de Crédito Imobiliário (CCI) vinculada à operação?</w:t>
            </w:r>
          </w:p>
          <w:p w14:paraId="3015D1E7"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Caso tenha sido apresentada, devemos conferir se a CCI contém todos os requisitos para a averbação de sua emissão, quais sejam: (a) a denominação "Cédula de Crédito Imobiliário"; (b) o nome, a qualificação e o endereço do credor e do devedor e, no caso de emissão escritural, também o do custodiante; (c) a identificação do imóvel objeto do crédito imobiliário, com a indicação da respectiva matrícula; (d) a modalidade da garantia; (e) o número e a série da cédula; (f) o valor do crédito que representa; (g) </w:t>
            </w:r>
            <w:r>
              <w:rPr>
                <w:rFonts w:ascii="Times New Roman" w:eastAsia="Times New Roman" w:hAnsi="Times New Roman" w:cs="Times New Roman"/>
                <w:sz w:val="20"/>
                <w:szCs w:val="20"/>
              </w:rPr>
              <w:t xml:space="preserve">a condição de integral ou fracionária e, nessa última hipótese, também a indicação da fração que representa; (h) o prazo, a data de vencimento, o valor da prestação total, nela incluídas as parcelas de amortização e juros, as taxas, seguros e demais encargos contratuais de responsabilidade do devedor, a forma de reajuste e o valor das multas previstas contratualmente, com a indicação do local de pagamento; (i) o local e a data da emissão; (j) a assinatura do credor, quando emitida </w:t>
            </w:r>
            <w:proofErr w:type="spellStart"/>
            <w:r>
              <w:rPr>
                <w:rFonts w:ascii="Times New Roman" w:eastAsia="Times New Roman" w:hAnsi="Times New Roman" w:cs="Times New Roman"/>
                <w:sz w:val="20"/>
                <w:szCs w:val="20"/>
              </w:rPr>
              <w:t>cartularmente</w:t>
            </w:r>
            <w:proofErr w:type="spellEnd"/>
            <w:r>
              <w:rPr>
                <w:rFonts w:ascii="Times New Roman" w:eastAsia="Times New Roman" w:hAnsi="Times New Roman" w:cs="Times New Roman"/>
                <w:sz w:val="20"/>
                <w:szCs w:val="20"/>
              </w:rPr>
              <w:t>; e (k) a clá</w:t>
            </w:r>
            <w:r>
              <w:rPr>
                <w:rFonts w:ascii="Times New Roman" w:eastAsia="Times New Roman" w:hAnsi="Times New Roman" w:cs="Times New Roman"/>
                <w:sz w:val="20"/>
                <w:szCs w:val="20"/>
              </w:rPr>
              <w:t>usula à ordem, se endossável.</w:t>
            </w:r>
          </w:p>
          <w:p w14:paraId="502267A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19 da Lei 10.931/2004.</w:t>
            </w:r>
          </w:p>
          <w:p w14:paraId="52F0531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Devemos conferir, ainda, se sobre as matrículas objetos da garantia encontram-se inscritos ou prenotados outros ônus reais ou gravames judiciais. Em caso positivo, em regra, fica vedada a averbação de emissão da CCI nas matrículas.</w:t>
            </w:r>
          </w:p>
          <w:p w14:paraId="68B104E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25 da Lei 10.931/2004.</w:t>
            </w:r>
          </w:p>
          <w:p w14:paraId="6A16FB4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a CCI contenha todos os requisitos e não se enquadre nas hipóteses de vedação mencionada acima, devemos averbar a emissão da CCI nas matrículas dos imóveis objetos da garantia, constando na averbação o número e a série da CCI e a identificação da entidade custodiante.</w:t>
            </w:r>
          </w:p>
          <w:p w14:paraId="0EB36E7A"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18, parágrafo 5º, da Lei 10.931/2004.</w:t>
            </w:r>
          </w:p>
          <w:p w14:paraId="14A1E5F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Quando solicitados, concomitantemente, o registro da garantia real e a averbação da emissão da CCI, não serão devidos custos para a averbação da CCI.</w:t>
            </w:r>
          </w:p>
          <w:p w14:paraId="21FFC538"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18, parágrafo 6º, da Lei 10.931/2004.</w:t>
            </w:r>
          </w:p>
        </w:tc>
        <w:tc>
          <w:tcPr>
            <w:tcW w:w="581" w:type="dxa"/>
          </w:tcPr>
          <w:p w14:paraId="6C3DA752"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1448D48D" w14:textId="77777777" w:rsidR="00715D8B" w:rsidRDefault="00715D8B">
            <w:pPr>
              <w:spacing w:after="0"/>
              <w:jc w:val="both"/>
              <w:rPr>
                <w:rFonts w:ascii="Times New Roman" w:eastAsia="Times New Roman" w:hAnsi="Times New Roman" w:cs="Times New Roman"/>
                <w:sz w:val="20"/>
                <w:szCs w:val="20"/>
              </w:rPr>
            </w:pPr>
          </w:p>
        </w:tc>
      </w:tr>
      <w:tr w:rsidR="00715D8B" w14:paraId="64BCA717" w14:textId="77777777">
        <w:tc>
          <w:tcPr>
            <w:tcW w:w="465" w:type="dxa"/>
          </w:tcPr>
          <w:p w14:paraId="5A6B136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08" w:type="dxa"/>
          </w:tcPr>
          <w:p w14:paraId="58D3A08B"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Os custos foram recolhidos corretamente? </w:t>
            </w:r>
          </w:p>
          <w:p w14:paraId="49C2DDB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14 da LRP e artigo 4º da Lei Complementar 755/2019.</w:t>
            </w:r>
          </w:p>
          <w:p w14:paraId="53BFD067"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Os custos serão formados pelos emolumentos, acrescidos dos valores relativos ao Fundo do Reaparelhamento da Justiça - FRJ, ao Imposto Sobre Serviços - ISS e à taxa de cartão, se houver.</w:t>
            </w:r>
          </w:p>
          <w:p w14:paraId="00AAD7FD"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12, parágrafo 4º, da Lei Complementar 755/2019 e artigo 22 da Lei Complementar 807/2022.</w:t>
            </w:r>
          </w:p>
          <w:p w14:paraId="352CACD9"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Os emolumentos serão de:</w:t>
            </w:r>
          </w:p>
          <w:p w14:paraId="0DEFD38F"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Registro (com valor)</w:t>
            </w:r>
            <w:r>
              <w:rPr>
                <w:rFonts w:ascii="Times New Roman" w:eastAsia="Times New Roman" w:hAnsi="Times New Roman" w:cs="Times New Roman"/>
                <w:sz w:val="20"/>
                <w:szCs w:val="20"/>
              </w:rPr>
              <w:t>: Serão devidos os emolumentos correspondentes aos valores constantes no item 2.2 da Tabela III da Lei Complementar 755/2019, atualizada e publicizada por meio da Circular 355/2023 da CGFE/SC.</w:t>
            </w:r>
          </w:p>
          <w:p w14:paraId="4493C1F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65 da Lei Complementar 755/2019.</w:t>
            </w:r>
          </w:p>
          <w:p w14:paraId="73842A7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Base de Cálculo</w:t>
            </w:r>
            <w:r>
              <w:rPr>
                <w:rFonts w:ascii="Times New Roman" w:eastAsia="Times New Roman" w:hAnsi="Times New Roman" w:cs="Times New Roman"/>
                <w:sz w:val="20"/>
                <w:szCs w:val="20"/>
              </w:rPr>
              <w:t xml:space="preserve">: A base de cálculo no registro da compra e venda deve ser o maior valor entre o valor declarado para o negócio, o valor venal atribuído para fins de cobrança do imposto de transmissão e o valor real ou de mercado. </w:t>
            </w:r>
          </w:p>
          <w:p w14:paraId="305D9BE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6º da Lei Complementar 755/2019 c/c artigo 320 do CNCGJ/SC.</w:t>
            </w:r>
          </w:p>
          <w:p w14:paraId="1231C468"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base de cálculo para registro da alienação fiduciária será o valor do negócio jurídico, limitada ao valor do imóvel.</w:t>
            </w:r>
          </w:p>
          <w:p w14:paraId="1A48901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67 da Lei Complementar 755/2019.</w:t>
            </w:r>
          </w:p>
          <w:p w14:paraId="6CCB9E2F"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Unidades Acessórias</w:t>
            </w:r>
            <w:r>
              <w:rPr>
                <w:rFonts w:ascii="Times New Roman" w:eastAsia="Times New Roman" w:hAnsi="Times New Roman" w:cs="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14:paraId="5A807240"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66 da Lei Complementar 755/2019.</w:t>
            </w:r>
          </w:p>
          <w:p w14:paraId="0CABE0C9"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Consórcio</w:t>
            </w:r>
            <w:r>
              <w:rPr>
                <w:rFonts w:ascii="Times New Roman" w:eastAsia="Times New Roman" w:hAnsi="Times New Roman" w:cs="Times New Roman"/>
                <w:sz w:val="20"/>
                <w:szCs w:val="20"/>
              </w:rPr>
              <w:t>: A averbação das restrições relacionadas nos incisos II a IV do parágrafo 5º do artigo 5º da Lei 11.795/2008 deve ser realizada sem a incidência de emolumentos.</w:t>
            </w:r>
          </w:p>
          <w:p w14:paraId="38DB493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45 da Lei 11.795/2008 e artigo 723 do CN-CG-Extra.</w:t>
            </w:r>
          </w:p>
          <w:p w14:paraId="4F93FC9F" w14:textId="79EC7EB5"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Cancelamento de Protocolo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14:paraId="7B4F4A7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item 8 da Tabela III da Lei Complementar 755/2019, atualizada e publicizada por meio da Circular 355/2023 da CGFE/SC.</w:t>
            </w:r>
          </w:p>
          <w:p w14:paraId="2BE85D85"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FRJ incidirá à razão de 22,73% sobre o valor dos emolumentos.</w:t>
            </w:r>
          </w:p>
          <w:p w14:paraId="0C588A4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Fundamento: artigo 3º-A da Lei 8.067/1990.</w:t>
            </w:r>
          </w:p>
          <w:p w14:paraId="3BBD091A"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ISS incidirá à razão de 5% sobre o valor dos emolumentos.</w:t>
            </w:r>
          </w:p>
          <w:p w14:paraId="5CC12D1C" w14:textId="77777777" w:rsidR="0093070D" w:rsidRDefault="0093070D">
            <w:pPr>
              <w:spacing w:after="0"/>
              <w:jc w:val="both"/>
              <w:rPr>
                <w:rFonts w:ascii="Times New Roman" w:eastAsia="Times New Roman" w:hAnsi="Times New Roman" w:cs="Times New Roman"/>
                <w:sz w:val="20"/>
                <w:szCs w:val="20"/>
              </w:rPr>
            </w:pPr>
            <w:r w:rsidRPr="0093070D">
              <w:rPr>
                <w:rFonts w:ascii="Times New Roman" w:eastAsia="Times New Roman" w:hAnsi="Times New Roman" w:cs="Times New Roman"/>
                <w:sz w:val="20"/>
                <w:szCs w:val="20"/>
              </w:rPr>
              <w:lastRenderedPageBreak/>
              <w:t>Fundamento do ISS: artigo 36 da Lei Municipal 3003/2011.</w:t>
            </w:r>
          </w:p>
          <w:p w14:paraId="19DA7EBB" w14:textId="3228A7FC"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haja divergência na cotação, devemos alterar os emolumentos no sistema, na aba “custas” e no campo “serviços cadastrados”, e no protocolo impresso, manuscritamente.</w:t>
            </w:r>
          </w:p>
        </w:tc>
        <w:tc>
          <w:tcPr>
            <w:tcW w:w="581" w:type="dxa"/>
          </w:tcPr>
          <w:p w14:paraId="6E3C8267"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2263ABA5" w14:textId="77777777" w:rsidR="00715D8B" w:rsidRDefault="00715D8B">
            <w:pPr>
              <w:spacing w:after="0"/>
              <w:jc w:val="both"/>
              <w:rPr>
                <w:rFonts w:ascii="Times New Roman" w:eastAsia="Times New Roman" w:hAnsi="Times New Roman" w:cs="Times New Roman"/>
                <w:sz w:val="20"/>
                <w:szCs w:val="20"/>
              </w:rPr>
            </w:pPr>
          </w:p>
        </w:tc>
      </w:tr>
      <w:tr w:rsidR="00715D8B" w14:paraId="1E6FF0CB" w14:textId="77777777">
        <w:tc>
          <w:tcPr>
            <w:tcW w:w="465" w:type="dxa"/>
          </w:tcPr>
          <w:p w14:paraId="3463088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08" w:type="dxa"/>
          </w:tcPr>
          <w:p w14:paraId="564A0CF6"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positivamente?</w:t>
            </w:r>
          </w:p>
          <w:p w14:paraId="71E019DF"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Não deverão constar no ato registral outros elementos de qualificação, como dados dos representantes, procuradores, avalistas, fiadores e outros que digam respeito a elementos não essenciais do negócio jurídico, salvo quando envolver incapazes.</w:t>
            </w:r>
          </w:p>
          <w:p w14:paraId="3D4D7E6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Nos casos em que a qualificação subjetiva já consta de ato anterior praticado na mesma matrícula, podemos mencionar que se trata de pessoa já qualificada.</w:t>
            </w:r>
          </w:p>
          <w:p w14:paraId="60F792D4"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706, parágrafos 4º e 5º, do CNCGFE/SC.</w:t>
            </w:r>
          </w:p>
          <w:p w14:paraId="14C8C58E"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Antes da inscrição, devemos cadastrar o ato para a emissão da Declaração sobre Operações Imobiliárias (DOI). </w:t>
            </w:r>
          </w:p>
          <w:p w14:paraId="754F99B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2º da Instrução Normativa RFB 1.112/2010.</w:t>
            </w:r>
          </w:p>
          <w:p w14:paraId="09C83BF3"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Caso o imóvel seja de marinha, devemos cadastrar o ato, também, para a emissão da Declaração sobre Operações Imobiliárias de Terrenos da União (DOITU).</w:t>
            </w:r>
          </w:p>
          <w:p w14:paraId="61B09D89"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3º-A do Decreto-Lei 2.398/1987 e artigo 2º da Portaria SPU/ME 24.218/2020.</w:t>
            </w:r>
          </w:p>
        </w:tc>
        <w:tc>
          <w:tcPr>
            <w:tcW w:w="581" w:type="dxa"/>
          </w:tcPr>
          <w:p w14:paraId="4F987CD1"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27F934EB" w14:textId="77777777" w:rsidR="00715D8B" w:rsidRDefault="00715D8B">
            <w:pPr>
              <w:spacing w:after="0"/>
              <w:jc w:val="both"/>
              <w:rPr>
                <w:rFonts w:ascii="Times New Roman" w:eastAsia="Times New Roman" w:hAnsi="Times New Roman" w:cs="Times New Roman"/>
                <w:sz w:val="20"/>
                <w:szCs w:val="20"/>
              </w:rPr>
            </w:pPr>
          </w:p>
        </w:tc>
      </w:tr>
      <w:tr w:rsidR="00715D8B" w14:paraId="6F37ACCA" w14:textId="77777777">
        <w:tc>
          <w:tcPr>
            <w:tcW w:w="465" w:type="dxa"/>
          </w:tcPr>
          <w:p w14:paraId="477551E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08" w:type="dxa"/>
          </w:tcPr>
          <w:p w14:paraId="7AD48AB8"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O título foi qualificado negativamente?</w:t>
            </w:r>
          </w:p>
          <w:p w14:paraId="46DAB9B1"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 conferência dos documentos deve ser exaustiva e a nota de exigência formulada com a exposição clara e objetiva dos fundamentos da recusa.</w:t>
            </w:r>
          </w:p>
          <w:p w14:paraId="50129716"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O protocolo deve ser “qualificado negativamente” no sistema e encaminhado para a digitalização.</w:t>
            </w:r>
          </w:p>
          <w:p w14:paraId="743B1462"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Após o cumprimento das exigências, com base em novas informações e/ou novos documentos, poderá ser formulada nova nota de exigência.</w:t>
            </w:r>
          </w:p>
          <w:p w14:paraId="1989FB4D" w14:textId="77777777" w:rsidR="00715D8B" w:rsidRDefault="0093070D">
            <w:pPr>
              <w:spacing w:after="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Fundamento</w:t>
            </w:r>
            <w:r>
              <w:rPr>
                <w:rFonts w:ascii="Times New Roman" w:eastAsia="Times New Roman" w:hAnsi="Times New Roman" w:cs="Times New Roman"/>
                <w:sz w:val="20"/>
                <w:szCs w:val="20"/>
              </w:rPr>
              <w:t>: artigo 198 da LRP e artigo 189 do CNCGFE/SC.</w:t>
            </w:r>
          </w:p>
        </w:tc>
        <w:tc>
          <w:tcPr>
            <w:tcW w:w="581" w:type="dxa"/>
          </w:tcPr>
          <w:p w14:paraId="5D7A6AA6" w14:textId="77777777" w:rsidR="00715D8B" w:rsidRDefault="00715D8B">
            <w:pPr>
              <w:spacing w:after="0"/>
              <w:jc w:val="both"/>
              <w:rPr>
                <w:rFonts w:ascii="Times New Roman" w:eastAsia="Times New Roman" w:hAnsi="Times New Roman" w:cs="Times New Roman"/>
                <w:sz w:val="20"/>
                <w:szCs w:val="20"/>
              </w:rPr>
            </w:pPr>
          </w:p>
        </w:tc>
        <w:tc>
          <w:tcPr>
            <w:tcW w:w="615" w:type="dxa"/>
          </w:tcPr>
          <w:p w14:paraId="3C5A4C8E" w14:textId="77777777" w:rsidR="00715D8B" w:rsidRDefault="00715D8B">
            <w:pPr>
              <w:spacing w:after="0"/>
              <w:jc w:val="both"/>
              <w:rPr>
                <w:rFonts w:ascii="Times New Roman" w:eastAsia="Times New Roman" w:hAnsi="Times New Roman" w:cs="Times New Roman"/>
                <w:sz w:val="20"/>
                <w:szCs w:val="20"/>
              </w:rPr>
            </w:pPr>
          </w:p>
        </w:tc>
      </w:tr>
    </w:tbl>
    <w:p w14:paraId="45ECACFB" w14:textId="77777777" w:rsidR="00715D8B" w:rsidRDefault="00715D8B">
      <w:pPr>
        <w:spacing w:after="0"/>
        <w:jc w:val="both"/>
        <w:rPr>
          <w:rFonts w:ascii="Times New Roman" w:eastAsia="Times New Roman" w:hAnsi="Times New Roman" w:cs="Times New Roman"/>
          <w:b/>
        </w:rPr>
      </w:pPr>
    </w:p>
    <w:p w14:paraId="23B4ECBB" w14:textId="77777777" w:rsidR="00715D8B" w:rsidRDefault="0093070D">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Declaro que preenchi o presente roteiro de conferência após analisar o(s) documento(s) apresentado(s) e a(s) matrícula(s) prenotada(s), responsabilizando-me pelas informações inseridas.</w:t>
      </w:r>
    </w:p>
    <w:p w14:paraId="6EEA89B6" w14:textId="77777777" w:rsidR="00715D8B" w:rsidRDefault="00715D8B">
      <w:pPr>
        <w:spacing w:after="0"/>
        <w:jc w:val="both"/>
        <w:rPr>
          <w:rFonts w:ascii="Times New Roman" w:eastAsia="Times New Roman" w:hAnsi="Times New Roman" w:cs="Times New Roman"/>
          <w:sz w:val="20"/>
          <w:szCs w:val="20"/>
        </w:rPr>
      </w:pPr>
    </w:p>
    <w:p w14:paraId="36B20BC5" w14:textId="77777777" w:rsidR="00715D8B" w:rsidRDefault="0093070D">
      <w:pPr>
        <w:spacing w:after="0"/>
        <w:jc w:val="both"/>
        <w:rPr>
          <w:rFonts w:ascii="Times New Roman" w:eastAsia="Times New Roman" w:hAnsi="Times New Roman" w:cs="Times New Roman"/>
          <w:b/>
        </w:rPr>
      </w:pPr>
      <w:r>
        <w:rPr>
          <w:rFonts w:ascii="Times New Roman" w:eastAsia="Times New Roman" w:hAnsi="Times New Roman" w:cs="Times New Roman"/>
          <w:b/>
          <w:sz w:val="20"/>
          <w:szCs w:val="20"/>
        </w:rPr>
        <w:t>Conferência inicial</w:t>
      </w:r>
      <w:r>
        <w:rPr>
          <w:rFonts w:ascii="Times New Roman" w:eastAsia="Times New Roman" w:hAnsi="Times New Roman" w:cs="Times New Roman"/>
          <w:sz w:val="20"/>
          <w:szCs w:val="20"/>
        </w:rPr>
        <w:t>: Data: ____/____/_____. Nome: _____________________. Assinatura: ____________________</w:t>
      </w:r>
    </w:p>
    <w:sectPr w:rsidR="00715D8B">
      <w:pgSz w:w="11906" w:h="16838"/>
      <w:pgMar w:top="567" w:right="1134" w:bottom="709"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8B"/>
    <w:rsid w:val="00715D8B"/>
    <w:rsid w:val="00930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CF4F"/>
  <w15:docId w15:val="{7F4E6BC4-A2ED-4B31-A505-1F598B98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widowControl w:val="0"/>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5202</Words>
  <Characters>28091</Characters>
  <Application>Microsoft Office Word</Application>
  <DocSecurity>0</DocSecurity>
  <Lines>234</Lines>
  <Paragraphs>66</Paragraphs>
  <ScaleCrop>false</ScaleCrop>
  <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daniella.scheeffer</dc:creator>
  <cp:lastModifiedBy>Daniella Scheeffer</cp:lastModifiedBy>
  <cp:revision>2</cp:revision>
  <dcterms:created xsi:type="dcterms:W3CDTF">2024-04-27T00:58:00Z</dcterms:created>
  <dcterms:modified xsi:type="dcterms:W3CDTF">2024-04-27T00:58:00Z</dcterms:modified>
</cp:coreProperties>
</file>