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ESTREMAÇÃO - ESCRITURA PÚBLICA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4"/>
        <w:gridCol w:w="8580"/>
        <w:gridCol w:w="645"/>
        <w:gridCol w:w="600"/>
      </w:tblGrid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título físico, assinado manuscritamente, pode ser apresentada por meio do protocolo presencial, na via original ou em cópia autenticada, ou por meio do Serviço de Atendimento Eletrônico Compartilhado - SAEC, com cópia digitalizada, desde que seja possível conferir a autenticidade por meio do selo de fiscalização ou da plataforma do e-Notariado.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escritura seja digital, serão admitidas assinaturas eletrônicas qualificadas, com uso de certificado emitido com os requisitos da Infraestrutura de Chaves Públicas Brasileira - ICP-Brasil, ou avançadas, por meio do e-Notariado.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308, 762, 809 e 815 do Código de Normas da Corregedoria-Geral da Justiça do Estado de Santa Catarina -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conferida a autenticidade do título apresentado?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conferência da autenticidade pode ser realizada por meio: (a) do selo digital de fiscalização, quando o Tribunal de Justiça dispuser de plataforma que contenha informações suficientes para vinculação do ato; (b) da plataforma do e-Notariado, se o instrumento permitir; ou (c) de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e-mail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 ligação telefônica reduzida a termo, pelos contatos disponíveis no cadastro da serventia no CNJ.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308, 355, parágrafo 1º, e 809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 escritura o requerimento expresso para processamento da estremação, assim como para a realização dos atos decorrentes?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não conste, a escritura pode ser retificada ou apresentado um requerimento separado, firmado por um dos estremantes, com os respectivos reconhecimentos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13, inciso II e 221, inciso II da LRP e artigos 712-B, 712-C e 712-D do CNCGJ/SC.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dos proprietários da fração ideal objeto da estremação?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II, item 4, inciso III, item 2 da LRP e artigo 476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É possível a admissão do procedimento de estremação de fração ideal ainda não registrada, mas o adquirente/requerente deve apresentar o título de aquisição para registro, em protocolo separado.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Ambos os protocolos devem ser qualificados positivamente e registrados concomitantemente.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Nessa hipótese fica afastada a vedação imposta pelo artigo 713 do CNCGJ/SC.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artigo 712-C do CNCGJ/SC e artigo 7º, parágrafo 4º do Decreto Municipal 23.378/2021.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proprietários da fração ideal a ser estremada tenha falecido, com inventário ainda não finalizado, o espólio será representado pelo inventariante, devendo para tanto ser consignado na escritura o termo de nomeação. Caso o inventário tenha sido concluído devem figurar como proprietários, na escritura, os herdeiros que receberam o imóvel na partilha. Ademais, o formal de partilha ou a escritura de inventário devem ser apresentados em protocolo separado, para que ambos os títulos sejam registrados concomitantemente.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1.784 e 1.791 do Código Civil - CC e artigo 712-C, parágrafo 1º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averbação referente à qualificação dos proprietários (retificação de dados de qualificação, casamento, separação, divórcio, alteração da razão social, dissolução de união estável,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de retificação pode ser realizada com base na própria escritura, quando os dados necessários constarem expressamente.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averbação pode ser realizada ainda por meio de requerimento, acompanhado dos documentos competentes, apresentados em protocolo separado.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167, inciso II e 176, parágrafo 1º, inciso II, item 4, inciso III, item 2 e 213, inciso I, alínea “g” da LRP e artigo 688, parágrafo 6º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no título a qualificação da fração ideal objeto da estremação?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 constar na escritura a localização, área total, medidas perimetrais e os lances com seus respectivos confrontantes, assim como a identificação da matrícula ou transcrição de origem da fração ideal a ser estremada.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item 3, inciso III, 222 e 225 da LRP e artigo 712-B, inciso II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 escritura a qualificação e a anuência expressa dos ocupantes e/ou detentores de direito real dos imóveis confrontantes da fração ideal a ser estremada?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os ocupantes e/ou detentores de direito real dos imóveis confrontantes não compareçam, na escritura, prestando a anuência expressa ao procedimento de estremação, esse fato deve ser consignado na escritura, assim como o pedido de notificação dos respectivos ocupantes e/ou detentores de direito real.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176, parágrafo 1º, inciso II, item 4, inciso III, item 2 da LRP e artigos 476, 712-B e 712-D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na escritura a declaração e/ou comprovação de que a posse da fração ideal a estremar conta com no mínimo de 5 (cinco) anos?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permitida a soma do tempo dos proprietários anteriores e é admitida, para sua comprovação, a declaração do proprietário, corroborada pelos confrontantes.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712-B, inciso I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imóvel objeto da estremação seja rural, foram mencionados na escritura o Certificado de Cadastro de Imóvel Rural (CCIR), a prova de quitação do Imposto Territorial Rural (ITR) e o Cadastro Ambiental Rural (CAR)?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712-E, inciso I, alíneas “a” a “c”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objeto da estremação não tenha cadastro individualizado no INCRA, podem constar na escritura o CCIR e o ITR relativo à gleba originária.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objeto da estremação não tenha cadastro individualizado no CAR, podem constar na escritura o número do CAR do imóvel originário.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712-E, parágrafo único do CNCGJ/SC.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estremação de imóvel rural não implicará em alteração da reserva legal e outros termos de compromisso relacionados à regularidade do imóvel eventualmente já averbados, seja de sua área, localização ou descrição. O ato deve ser transportado para a matrícula aberta, indicando que a reserva legal se encontra especializada na matrícula de origem.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685-A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Caso o imóvel objeto da estremação seja urbano, foi apresentada a certidão com a anuência do município ao procedimento de estremação?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O município deve anuir expressamente ao procedimento de estremação, devendo constar na certidão: (a) o número do processo administrativo; (b) o nome do proprietário; (c) a certificação de que foi respeitada a fração mínima de parcelamento do solo, tanto da área a ser estremada quanto da área remanescente; (d) a certificação da existência e indicação dos equipamentos de infraestrutura essencial; (e) o número da inscrição imobiliária municipal, se for o caso; (f) o nome do responsável técnico e o número do seu registro junto ao órgão de classe; e (g) o número da anotação de responsabilidade técnica.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712-B,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caput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e inciso III, e 712-E, inciso II, alínea “a” e “b” do CNCGJ/SC e artigo 11, parágrafo 1º do Decreto Municipal 23.378/2021.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município não deferirá a estremação em imóveis: (a) em que seja possível realizar o parcelamento regular do solo; (b) com área total e testada inferiores ao permitido pelo Plano Diretor; (c) sem acesso à via de circulação pública existente e oficial; e (d) sem acesso a pelo menos três equipamentos de infraestrutura essenciais.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Considera-se via pública oficial aquela que, concomitantemente, preencha dois requisitos dentre: (a) denominação aprovada por projeto de lei; (b) incorporada ao patrimônio municipal; e (c) com infraestrutura implementada pelo município.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Considera-se infraestrutura essencial os seguintes equipamentos: (a) sistema de abastecimento de água potável; (b) sistema de coleta e tratamento do esgotamento sanitário; (c) rede de energia elétrica; (d) soluções de drenagem, quando necessárias; (e) sistema de coleta de resíduos sólidos; e (f) pavimentação implementada pelo município.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8 do Decreto Municipal 23.378/2021.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planta do levantamento topográfico?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Tratando-se de imóvel urbano, a planta deve conter: (a) a indicação da área total da matrícula; (b) a localização, a área total, as medidas perimetrais e os lances com seus respectivos confrontantes, relativos à fração ideal que se pretende estremar; (c) a indicação do número da matrícula ou transcrição de origem do imóvel do qual se requer a estremação; (d) o nome completo e o número do CPF dos confrontantes (razão social e CNPJ no caso das pessoas jurídicas); e (e) o carimbo de aprovação, com a identificação do processo, data e assinatura do servidor responsável pela aprovação.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item 3, inciso III, 221, inciso II, 222 e 225 da LRP, artigo 712-E do CNCGJ/SC e artigo 7º, parágrafo 1º e artigo 11, parágrafo 2º do Decreto Municipal 23.378/2021.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 hipótese dos proprietários da fração ideal ou de algum ocupantes e/ou detentores de direitos reais dos imóveis confrontantes ter falecido, mas que o inventário não tenha sido finalizado,  deve constar na planta o falecido como “espólio” e o número do CPF. Após a conclusão da partilha, mesmo que ainda não registrado o formal de partilha ou a escritura de inventário, deverão constar na planta os herdeiros que receberam 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1.784 e 1.791 do CC e artigo 712-C, parágrafo 1º do CNCGJ/SC.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imóvel confrontar com via pública estadual, deve constar na planta: (a) a denominação da rodovia; (b) o eixo e a direção da rodovia, no trecho do imóvel; e (c) a largura da faixa de domínio. Essas informações são imprescindíveis para a comprovação de que a faixa de domínio, que constitui imóvel público, foi respeitada.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99, inciso I do CC, artigos 212 e 213 da LRP, artigo 711, inciso III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memorial descritivo?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Tratando-se de imóvel urbano, o memorial descritivo deve conter: (a) a localização, a área total, as medidas perimetrais e os lances com seus respectivos confrontantes, relativos à fração ideal que se pretende estremar; (b) a indicação do número da matrícula ou transcrição de origem do imóvel do qual se requer a estremação; (c) o nome completo e o número do CPF dos confrontantes (razão social e CNPJ no caso das pessoas jurídicas); e (d) o carimbo de aprovação, com a identificação do processo, data e assinatura do servidor responsável pela aprovação.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item 3, inciso III, 221, inciso II, 222 e 225 da LRP, artigo 712-E do CNCGJ/SC e artigo 11, parágrafo 2º do Decreto Municipal 23.378/2021.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Na hipótese dos proprietários da fração ideal ou de algum ocupantes e/ou detentores de direitos reais dos imóveis confrontantes ter falecido, mas que o inventário não tenha sido finalizado,  deve constar no memorial descritivo o falecido como “espólio” e o número do CPF. Após a conclusão da partilha, mesmo que ainda não registrado o formal de partilha ou a escritura de inventário, deverão constar na planta os herdeiros que receberam 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1.784 e 1.791 do CC e artigo 712-C, parágrafo 1º do CNCGJ/SC.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 anotação de responsabilidade técnica (ART, RRT ou TRT) referente ao levantamento topográfico?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Devemos conferir se os dados mencionados na anotação de responsabilidade são relativos ao trabalho técnico realizado, assim como, conferir a autenticidade da anotação de responsabilidade no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do respectivo conselho profissional.</w:t>
            </w:r>
          </w:p>
          <w:p>
            <w:pPr>
              <w:pStyle w:val="Normal1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é necessário o reconhecimento de firma.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785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levantamento topográfico foi realizado com as coordenadas georreferenciadas do imóvel?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responsável técnico tenha realizado o levantamento utilizando o Sistema de Referência Geocêntrico para as Américas (SIRGAS 2000), devemos conferir as coordenadas no programa Dimensor.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área total ou as medidas perimetrais do imóvel gerado pelo Dimensor, a partir do lançamento das coordenadas, divergir do imóvel estremado, devemos formular uma exigência solicitando que o responsável técnico retifique as coordenadas ou esclareça o motivo da divergência.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as coordenadas estiverem corretas, devemos mencioná-las na descrição do imóvel estremado e cadastrar o imóvel no Dimensor.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levantamento seja realizado utilizando o Sistema Geodésico Sulamericano de 1969 (SAD-69), não devemos conferir no Dimensor e nem mencionar na descrição do imóvel.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21 do Decreto 89.817/1984, artigo 1º da Resolução do Presidente 01/2005 do IBGE e artigo 1º da Resolução do Presidente 01/2015 do IBGE e artigos 176, parágrafo 1º, item 3, inciso III e 225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Deve ser efetuada alguma inscrição referente ao imóvel originário (inscrição imobiliária, logradouro, construção, desmembramento, unificação, CAR, etc.)?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162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Para inscrição dos atos de estremação é desnecessária a retificação de área da gleba originária, bem como a apuração da área remanescente após o destaque da área estremada.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898, parágrafo 1º, do CNCGFE/SC.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701, parágrafo 2º, do CNCGFE/SC.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habite-se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798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A fração ideal objeto da estremação foi localizada no programa de Geoprocessamento da Prefeitura, no </w:t>
            </w: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u w:val="single"/>
              </w:rPr>
              <w:t>Google Maps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 e no </w:t>
            </w: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u w:val="single"/>
              </w:rPr>
              <w:t>Google Earth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Mesmo que o imóvel objeto da estremação não tenha inscrição imobiliária própria, devemos localizá-lo no Geoprocessamento e utilizar as seguintes ferramentas temáticas: “SPU Terreno de Marinha”, “Unidade de Conservação” e “Plano Diretor”.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imóvel objeto da estremação confrontar com áreas de domínio público, o ente público responsável deve anuir expressamente na escritura ou ser notificado, a requerimento do proprietário, podendo a anuência ser tácita.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712-B e 712-D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visualização e impressão das imagens históricas do imóvel (satélite 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street view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) deve comprovar a consolidação física do imóvel, individualizando-o das demais frações ideais registradas na matrícula ou transcrição originária.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712-B, parágrafo 1º, inciso I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confrontante não tenha registro público (matrícula ou transcrição), os possíveis detentores de domínio não identificados deverão ser notificados por meio de edital eletrônico, publicado 1 (uma) vez, para se manifestarem no prazo de 15 (quinze) dias úteis.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712-D, inciso II do CNCGJ/SC c/c artigo 213, parágrafos 3º e 17 da LRP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Há divergência entre a área da estremação e a área da fração ideal adquirida?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há obrigatoriedade de coincidência entre a área objeto da estremação e a área da fração ideal adquirida, entretanto, a divergência não pode decorrer de aquisição ou transferência de fração não registrada, ou ainda, de posse sobre outra fração ideal da matrícula.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conferência da eventual inclusão ou exclusão de área da fração ideal estremada deve ser realizada por meio do Dimensor, do Geoprocessamento da Prefeitura e das imagens do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Google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712-F, parágrafo 2º do CNCGJ/SC e artigos 212 e 213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Os imóveis e pessoas indicados como confrontantes do imóvel objeto da estremação conferem com os registros deste 2º ORI e com o cadastro imobiliário do município?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conferir as matrículas/transcrições indicadas como imóveis confrontantes, assim como o cadastro imobiliário por meio do programa de Geoprocessamento.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Havendo divergência devemos solicitar documentos complementares que comprovem a confrontação.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Devemos imprimir os espelhos de cadastro do imóvel objeto da estremação e dos imóveis confrontantes e arquivar no procedimento.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176, parágrafo 1º, item 3 e 225 da LRP e artigos 712-B, 712-D, parágrafos 1º e 2º e inciso II c/c artigo 704, todos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algum gravame na matrícula do imóvel?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na matrícula houver algum gravame recaindo sobre a fração ideal objeto da estremação ou sobre a integralidade do imóvel devemos observar os procedimentos abaixo. Nas hipóteses em que for possível o registro da estremação e não houver o cancelamento do gravame, devemos transportá-lo para a matrícula aberta.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Hipoteca Comum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será dispensada a anuência do credor hipotecário, todavia este será comunicado sobre a realização do registro da localização da parcela.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712-G, inciso I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Hipotecas Cedulares e do SFH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será necessário apresentar a autorização expressa do credor.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59 do Decreto-Lei 167/1967, artigo 51 do Decreto-Lei 413/1969, artigo 3º da Lei 6.313/1975, artigo 5º da Lei 6.840/1980, artigos 30 e 34, parágrafo 2º da Lei 10.931/2004, artigo 1º, parágrafo único da Lei 8.004/1990 e artigo 292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Penhora Comum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 ato será praticado independentemente de prévia autorização judicial. O fato deve ser comunicado ao juiz competente, por ofício.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712-G, inciso II do CNCGJ/SC.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Penhora fiscal em favor da União ou de suas autarquias e fundações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será necessário apresentar a autorização expressa do ente público.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712-G, inciso III do CNCGJ/SC e artigo 53, parágrafo 1º da Lei 8.212/1991.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Anticrese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será necessário apresentar a anuência do credor anticrético.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712-G, inciso IV do CNCGJ/SC.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Propriedade fiduciária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estremação deve ser requerida em conjunto, pelo credor e pelo devedor.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712-G, inciso V do CNCGJ/SC, artigo 22 da Lei 9.514/1997 e artigo 1.368-B do CC.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Usufruto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estremação deve ser requerida pelo nu proprietário e pelo usufrutuário.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712-G, inciso VI do CNCGJ/SC.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Indisponibilidade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(por determinação judicial ou ato da administração pública federal): deve ser apresentada autorização expressa do juiz ou da autoridade competente.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712-G, inciso VII do CNCGJ/SC.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Arrolamento Fiscal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 ato será praticado e comunicado imediatamente ao agente fiscal.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712-G, inciso VIII do CNCGJ/SC.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Cláusula de Inalienabilidade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cláusula deve ser cancelada ou o instituidor pode autorizar expressamente.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1.911 do CC.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Será necessária a notificação de algum ocupante e/ou detentor de direito real dos imóveis confrontantes?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notificação será realizada somente quando o confrontante não comparecer na escritura de estremação anuindo expressamente.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 anuir ao procedimento de estremação os ocupantes e/ou detentores de direito real dos imóveis confrontantes.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prazo para manifestação é de 15 (quinze) dias úteis, contados a partir do dia útil seguinte ao recebimento da notificação.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confrontante receba a notificação e não se manifeste dentro do prazo legal deve-se presumir a concordância ao procedimento.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 notificação pode ser realizada pelos Correios com Aviso de Recebimento (AR) ou pelo notificador do Registro de Títulos e Documentos (RTD).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Caso haja, a impugnação dos confrontantes deve ser expressa, fundamentada e por escrito (datada e assinada).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imóvel objeto da estremação confrontar com via pública estadual ou com outro imóvel de domínio do Estado (terras devolutas, bens de uso específico, dominicais, etc.) deve ser notificada a Procuradoria-Geral do Estado.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o imóvel objeto da estremação confrontar com imóvel de domínio da União deve ser notificada a Secretaria de Patrimônio da União (SPU).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artigos 704, 706 e 712-D, inciso II do CNCGJ/SC.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necessária a notificação devem ser apresentadas cópias (uma para cada notificação) da escritura de estremação, da certidão municipal, da planta, do memorial descritivo e da anotação de responsabilidade técnica. Sugere-se que as referidas cópias sejam apresentadas somente após a qualificação positiva do procedimento.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712-D, inciso II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apresentada alguma impugnação à estremação?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Eventuais impugnações devem ser ingressadas por meio de Protocolo de Exame e Cálculo (PEC).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ingresso, as impugnações devem ser encaminhadas de imediato ao conferente responsável pela análise do procedimento.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Não devem ser admitidas impugnações genéricas, infundadas ou estritamente de cunho pessoal.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Ao tomar contato com a impugnação, o conferente deve: (a) expedir (no PEC) nota informativa ao impugnante (conforme modelo) e encerrar o PEC; (b) juntar a impugnação no protocolo de estremação; e (c) fazer um juízo prévio, emitindo, caso a impugnação não tenha explicitado quaisquer motivos e/ou fundamentos impeditivos à estremação, desde logo, ofício noticiando ao impugnante a inadmissão e consequente continuidade de tramitação do procedimento.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Havendo a rejeição da impugnação, o impugnante poderá requerer a instauração de suscitação de dúvida no prazo de 5 (cinco) dias úteis.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Decorridos os prazos para manifestação de todos os notificados e havendo impugnação considerada minimamente fundamentada, devemos notificar o requerente e o técnico responsável pelo levantamento para que, caso tenha interesse, manifeste-se no prazo de 5 dias úteis acerca dos fatos e fundamentos alegados pelo impugnante.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Após o término do prazo devemos analisar o mérito da impugnação e as manifestações do requerente e do responsável técnico, caso sejam apresentadas.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impugnação não seja justificada deverão ser emitidos ofícios a fim de noticiar ao impugnante e ao requerente a inadmissão da impugnação e a continuidade de tramitação do procedimento.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a impugnação seja justificada, deverão ser emitidos ofícios a fim de noticiar ao impugnante e ao requerente a admissão da impugnação e a impossibilidade da continuidade do procedimento. Nesta hipótese, caberá ao requerente, no prazo de 10 (dez) dias úteis, contados do dia útil seguinte ao recebimento do ofício, apresentar: (a) declaração de anuência do impugnante; ou (b) requerimento para realização de audiência de conciliação, quando o mérito da impugnação comportar transação; ou (c) requerimento de prorrogação do prazo, a ser estipulado pelo requerente, para a realização de transação com o impugnante; ou (d) pedido para envio do procedimento para a Vara de Registros Públicos da Comarca desta Capital/SC (VRP), para o julgamento do mérito do impugnação.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seja realizada a tentativa de conciliação, mas mantida a impugnação, devemos encaminhar o procedimento à VRP.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requerente não realize nenhuma das providências mencionadas acima, no prazo de 20 (vinte) dias úteis, contados do dia útil seguinte à qualificação negativa, devemos encaminhar o procedimento à VRP.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a impugnação não será possível a anuência tácita, por meio de nova notificação, mesmo que haja cancelamento da prenotação e instauração de um novo procedimento. O requerente deverá apresentar declaração expressa de anuência à estremação firmada pelo impugnante.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712-D, inciso II, do CNCGJ/SC e artigo 213, parágrafos 5º e 6º, da LRP.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Será necessário realizar alguma notificação por edital?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imóvel confrontante não tenha registro público (matrícula ou transcrição), os possíveis detentores de domínio não identificados deverão ser notificados por meio de edital eletrônico, publicado 1 (uma) vez, para se manifestarem no prazo de 15 (quinze) dias úteis.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notificação por meio de edital poderá ser realizada quando: (a) as tentativas de notificações foram realizadas em todos os endereços conhecidos, incluindo os informados pelo requerente e os encontrados no indicador pessoal (Livro 5) e no programa de geoprocessamento da PMF; e (b) o notificado não for encontrado, estando em lugar incerto e não sabido.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Devemos certificar tal fato antes da publicação do edital.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É recomendável, para segurança jurídica do procedimento, que antes de realizar a intimação por edital, seja realizada a notificação por notificador do Registro de Títulos e Documentos, por ser mais eficiente do que a realizada pelos Correios.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edital deve ser publicado duas vezes, em jornal de grande circulação.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Transcorrido o prazo de 15 dias úteis, contados do dia seguinte à última publicação, sem que o confrontante apresente uma impugnação, a anuência deve ser presumida.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712-D, inciso II do CNCGJ/SC c/c artigo 213, parágrafos 3º e 17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edital pode ser publicado em meio eletrônico ou impresso, a critério do interessado.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653-A do CNCGJ/SC.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5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de estremação foi deferido?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estremação é um procedimento complexo, composto pelo procedimento de retificação extrajudicial da área estremada e pelo registro da estremação, atribuindo a propriedade da área estremada a determinado condômino. Assim, após a qualificação positiva do procedimento devemos realizar os seguintes atos: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(a) averbação da especialização da área estremada na matrícula originária, com a descrição completa, contendo localização, área total, medidas perimetrais, confrontações e inscrição imobiliária, se houver;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(b) registro da estremação na matrícula originária para atribuir a propriedade da área estremada (citar o “R” em que os proprietários adquiriram a fração ideal estremada e a “Av” da estremação);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(c) averbação de transferência da área estremada; e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(d) abertura de matrícula para a área estremada.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artigo 898 do CNCGFE/SC.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As averbações de óbito, convenção antenupcial ou de união estável, construções e de ônus e ações devem ser transportados para a matrícula derivada mediante averbação, sem incidência de emolumentos.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695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(registro 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Para a averbação da descrição da área objeto da estremação na matrícula originária, serão devidos os emolumentos correspondentes aos valores constantes no item 2.2 da Tabela III da Lei Complementar Estadual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712-F, inciso I do CNCGJ/SC c/c item 4 da Tabela III da Lei Complementar Estadual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Registro (com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CGFE/SC, para o registro da estremação na matrícula originária.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65 da Lei Complementar 755/2019, artigo 712-F, inciso II do CNCGJ/SC e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 base de cálculo deve ser o maior valor declarado para o imóvel estremado.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6º da Lei Complementar 755/2019 c/c artigo 320 do CNCGJ/SC e Circular 113/2021 da Corregedoria-Geral de Justiça de Santa Catarina - CGJ/SC.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Abertura de Matrícula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1.1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Expedição de Notificação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11 da Tabela III da Lei Complementar Estadual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Notificação pelos Correios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artigo 13, inciso II da Lei Complementar 755/2019.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Notificação pelo Registro de Títulos e Documentos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 O valor depende de orçamento junto ao cartório competente.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 sem o cumprimento das exigências formuladas, serão devidos os emolumentos correspondentes a 1/3 do valor dos emolumentos do ato.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84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7</Pages>
  <Words>4836</Words>
  <Characters>26635</Characters>
  <CharactersWithSpaces>31289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2024-04-26T16:54:15Z</dcterms:modified>
  <cp:revision>1</cp:revision>
  <dc:subject/>
  <dc:title/>
</cp:coreProperties>
</file>