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u w:val="single"/>
          <w:vertAlign w:val="baseline"/>
        </w:rPr>
        <w:t>INCORPORAÇÃO, FUSÃO OU CISÃO SO</w:t>
      </w: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>CIETÁRIA - CONTRATO PARTICULAR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"/>
        <w:gridCol w:w="8614"/>
        <w:gridCol w:w="645"/>
        <w:gridCol w:w="600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52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ram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apresentad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os documentos societários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relativos à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incorporação/fusão/cisão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 ser apresentado o documento (ata de assembleia, estatuto, alteração contratual ou contrato social) da sociedade transmitente, em que foi aprovada a incorporação/fusão/cisão.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 ser apresentados, ainda, o protocolo de justificativa e o laudo de avaliação, caso não constem no corpo do título em que foi aprovada a alteração societária.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É possível que no laudo de avaliação não conste especificamente o valor do crédito ou a descrição e valor do imóvel objeto da incorporação/fusão/cisão. Nesse caso basta que a sociedade adquirente indique expressamente no requerimento o valor do crédito cedido, especificamente sobre os imóveis requeridos, ou a identificação e valor do imóvel, quando se tratar de transmissão da propriedade.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 da Lei 8.934/1994 e artigo 234 da Lei 6.404/1976.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documentos sejam físicos, devem ser apresentados na via original ou em cópias autenticadas, com a comprovação de registro na Junta Comercial.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194 e 221, inciso II,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os documentos sejam digitais, devemos realizar o procedimento de confirmação de autenticidade no site da Junta Comercial.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10, parágrafo 2º, da Medida Provisória 2.200-2/2001.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Const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n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documentos societários a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qualificação das empresas participantes da incorporação/fusão/cisão?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uma pessoa jurídica são: denominação social, CNPJ e sede.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Caso falte algum elemento de qualificação, pode ser sanado com a apresentação de documentos apartados,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LRP e artigo 476 do Código de Normas da Corregedoria-Geral da Justiça do Estado de Santa Catarina -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da empresa transmitente (retificação de dados de qualificação, alteração da razão social,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certidão negativa de débitos federais relativa ao outorgante?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contanto que os imóveis objetos da transação estejam contabilmente lançados no seu ativo circulante e não tenham constado, em seu ativo permanente.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47, inciso I, alínea “b” da Lei 8.212/1991, artigo 680, parágrafo único, do CN/CG-Extra e artigos 1º e 17 da Portaria Conjunta RFB-PGFN 1.751/2014.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declaração seja física,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17, parágrafos 1º e 2º, da LRP, artigo 4º, incisos II e III, c/c artigo 5º, parágrafo 2º, inciso IV, da Lei 14.063/2020, artigo 762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identificação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Por se tratar de um documento societário, com registro na Junta Comercial, a qualificação completa do imóvel pode ser flexibilizada. Não havendo dúvida sobre a identificação do imóvel, podemos realizar a inscrição do ato, sem exigir a retificação do título.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 e 225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no título conste indícios da existência de parcelamento de solo clandestino, devemos encaminhar ofício para o Ministério Público, com cópia da documentação apresentada.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717 do CNCGJ/SC.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do imóvel na matrícula for omissa em relação às medidas perimetrais e/ou área total é recomendável a realização do procedimento de retificação de área, previsto nos artigos 212 e 213 da LRP. Todavia, quando não houver dúvida sobre a identificação do imóvel e o mesmo for alienado integralmente, fica facultado ao interessado requerer que seja realizada a inscrição do título sem a especialização do imóvel, mas ficando ciente de que a retificação de área será exigida posteriormente, caso seja necessário inscrever algum ato em que a conferência dos elementos de qualificação do imóvel seja imprescindível, como por exemplo: construção, unificação, parcelamento do solo, incorporação e instituição de condomínio, etc.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Decisão proferida em 05/02/2018 no Processo SAE 11278-LAUNSO, pelo Juiz -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 primeira alienação ou oneração prenotada após o registro da incorporação, devemos observar se decorreu o prazo de 180 dias para concretização da incorporação. Considera-se concretizada a incorporação 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empreendimento, a ser comprovada mediante declaração do incorporador.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33 da Lei 4.591/1964 e artigo 1.078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são urbanos?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incorporação/fusão/cisão resulte na transferência de imóvel e o mesmo seja rural, deve ser apresentada a Certidão Negativa de Débitos relativos ao Imposto sobre a Propriedade Territorial Rural (ITR), assim como, deve constar na matrícula: (a) os dados do Certificado de Cadastro do Imóvel Rural (CCIR); e (b) a averbação do recibo de inscrição no Cadastro Ambiental Rural – CAR. Caso não conste, os referidos documentos devem ser apresentados para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conste na matrícula a informação de que o imóvel é rural, mas atualmente o imóvel não tenha a referida destinação, pode ser apresentado, em protocolo separado, um ofício de cancelamento do cadastro expedido pelo INCRA.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II, item 3, alínea “a” da LRP, artigos 12, 18 e 19 da Lei 12.651/2012, artigo 685, inciso XII do CNCGJ/SC, artigo 4º, inciso I da Lei 4.504/1964 e artigo 15 do Decreto-Lei 57/1966.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seja rural e esteja sendo adquirido por pessoa jurídica estrangeira jurídica, devemos observar os requisitos da Lei 5.709/1971.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 trate de um imóvel cadastrado como área de marinha: (a) deve ser apresentada a Certidão de Autorização de Transferência (CAT), onde deve constar o número do Registro Imobiliário Patrimonial (RIP); e (b) devemos realizar a Declaração sobre Operações Imobiliárias em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2º do Decreto-Lei 9.760/1946, artigos 1º e 2º da Lei 9.636/1998 e artigos 3º e 3º-A do Decreto 2.398/1987.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Quando se tratar de transferência de imóveis, foram apresentadas as certidões de débitos municipais relativas aos imóveis ou a declaração de dispensa pela adquirente?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1º, parágrafo 2º, da Lei 7.433/1985 e artigo 1º, inciso III, do Decreto 93.240/1986.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imóveis sejam unidades autônomas, foi apresentada a prova de quitação dos débitos condominiais ou a declaração de dispensa?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quitação pode ser comprovada mediante declaração do transmitente, do síndico ou da administradora do condomínio. Ademais, o adquirente pode dispensar a apresentação da comprovação de quitação ou da declaração do transmitente, assumindo eventual dívida existente.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quitação seja declarada: (a) pelo síndico, deve ser apresentada a ata de assembleia em que este foi eleito; e (b) pela administradora do condomínio, deve ser apresentada a ata de assembleia em que esta foi eleita, assim como os documentos societários da administradora para conferência da representação.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declaração seja física, assinada manuscritamente, deve conter o reconhecimento de firma. Caso seja digital,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é necessária a prova de quitação nas transferências de unidades autônomas em fase de incorporação imobiliária.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4º, parágrafo único, da Lei 4.591/1964 e artigos 762 e 813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alienação (ex: hipoteca e penhora comuns, servidão, etc.), os adquirentes devem declarar ciência.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impeditivo de alienação (ex: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 da Lei 9.514/1997 e artigo 1.368-B do Código Civil -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Foi apresentada a guia do Imposto sobre a Transmissão Onerosa de Bens Imóveis por Ato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u w:val="single"/>
              </w:rPr>
              <w:t xml:space="preserve">Inter Vivos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(ITBI) e o comprovante de recolhimento?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ITBI incidirá quando tratar-se de transmissão da propriedade ou do direito real de aquisição, todavia, quando tratar-se de incorporação/fusão/cisão de créditos, não haverá incidência.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tratar-se de parcelamento do ITBI, deverão ser apresentados a guia originária do ITBI, com a identificação dos imóveis, o termo de concessão do parcelamento e a quitação de todas as guias com vencimento até a data de assinatura do contrato.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505, 802, inciso I, e 803 do CNCGJ/SC, artigos 283, inciso III, e 287 do Código Tributário do Município de Florianópolis/SC, artigo 134, inciso VI do Código Tributário Nacional, artigo 289 da LRP e artigo 30, inciso XI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casos em que a transmissão se enquadrar na hipótese de imunidade, poderão ser apresentados o termo de liberação para fins de transmissão ou a certidão de dispensa de recolhimento, ambos emitidos pela Secretaria Municipal da Fazenda.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156, parágrafo 2º, inciso I da Constituição Federal, artigos 208-A e 287, parágrafo 1º da Lei Complementar 007/1997 e Instrução Normativa 01/SMF/GAB/2021.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valores declarados pelas partes, para o negócio jurídico e/ou para fins de lançamento fiscal, apresentam dissonância com o valor de mercado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o valor declarado atingir o teto dos emolumentos, não devemos realizar nenhuma providência, mas quando não atingir, podemos utilizar como parâmetros, para encontrar o valor de mercado, os valores das transações anteriores constantes da mesma matrícula, atualizados monetariamente, os valores de transações atuais constantes nas matrículas de unidades similares, no mesmo empreendimento,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de compra e venda de imóveis ou de imobiliárias, tabela FIPE, valor de avaliação fiscal, entre outros.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Encontrado valor de mercado acima do valor declarado, devemos solicitar declaração de valor de mercado, indicando qual o parâmetro utilizado para impugnação, bem como a complementação dos custos de registro.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valor de mercado servirá, exclusivamente, como base de cálculo dos emolumentos, FRJ e ISS, não sendo necessária a complementação de outros tributos incidentes sobre o ato.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320 do CNCGFE/SC e artigo 6º, parágrafo 3º,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necessária a apresentação de declaração apartada, esta poderá ser assinada por qualquer um dos outorgados. Caso seja assinada manuscritamente deve conter o reconhecimento de firma e caso seja assinada digitalmente, serão admitidas assinaturas eletrônicas qualificadas, com uso de certificado emitido com os requisitos da Infraestrutura de Chaves Públicas Brasileira (ICP-Brasil), ou avançadas, por meio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221, inciso II, da Lei 6.015/1973 e artigo 762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Transmissão dos direitos de crédito quitado (averbação 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(necessário o cancelamento da garantia concomitantemente ao ato de incorporação/fusão/cisão).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Transmissão dos direitos de crédito não quitados (averbação 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3.2 da Tabela III da Lei Complementar 755/2019, atualizada e publicizada por meio da Circular 355/2023 da CGFE/SC..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234 da Lei 6.404/1976, artigo 76 da Lei Complementar 755/2019 e artigo 823, parágrafo único, do CN/CG-Extra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Transferência de Propriedade (registro com valor)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64 da Lei 8.934/1994, artigo 65 da Lei Complementar 755/2019 e artigo 823 do CN/CG-Extra.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Quando for o caso, a base de cálculo deve ser o maior valor entre o valor declarado para o negócio, o valor venal atribuído para fins de cobrança do imposto de transmissão e o valor real ou de mercado.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6º da Lei Complementar 755/2019 c/c artigo 320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Nos casos de registro com valor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casos de averbação com valor declarado não se aplica a redução prevista no artigo 66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66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5</Pages>
  <Words>3140</Words>
  <Characters>17661</Characters>
  <CharactersWithSpaces>20685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2024-04-26T16:37:08Z</dcterms:modified>
  <cp:revision>1</cp:revision>
  <dc:subject/>
  <dc:title/>
</cp:coreProperties>
</file>