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  MATRÍCULA(S): 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20"/>
          <w:sz w:val="20"/>
          <w:szCs w:val="20"/>
          <w:u w:val="single"/>
          <w:vertAlign w:val="baseline"/>
        </w:rPr>
      </w:pPr>
      <w:r>
        <w:rPr>
          <w:rFonts w:eastAsia="Times New Roman" w:cs="Times New Roman" w:ascii="Times New Roman" w:hAnsi="Times New Roman"/>
          <w:position w:val="0"/>
          <w:sz w:val="20"/>
          <w:sz w:val="20"/>
          <w:szCs w:val="20"/>
          <w:u w:val="single"/>
          <w:vertAlign w:val="baseline"/>
        </w:rPr>
      </w:r>
    </w:p>
    <w:p>
      <w:pPr>
        <w:pStyle w:val="Normal1"/>
        <w:pageBreakBefore w:val="false"/>
        <w:spacing w:lineRule="auto" w:line="240" w:before="0" w:after="0"/>
        <w:rPr>
          <w:rFonts w:ascii="Times New Roman" w:hAnsi="Times New Roman" w:eastAsia="Times New Roman" w:cs="Times New Roman"/>
          <w:position w:val="0"/>
          <w:sz w:val="24"/>
          <w:sz w:val="24"/>
          <w:szCs w:val="24"/>
          <w:u w:val="single"/>
          <w:vertAlign w:val="baseline"/>
        </w:rPr>
      </w:pPr>
      <w:r>
        <w:rPr>
          <w:rFonts w:eastAsia="Times New Roman" w:cs="Times New Roman" w:ascii="Times New Roman" w:hAnsi="Times New Roman"/>
          <w:b/>
          <w:position w:val="0"/>
          <w:sz w:val="24"/>
          <w:sz w:val="24"/>
          <w:szCs w:val="24"/>
          <w:u w:val="single"/>
          <w:vertAlign w:val="baseline"/>
        </w:rPr>
        <w:t xml:space="preserve">INTEGRALIZAÇÃO DE CAPITAL - </w:t>
      </w:r>
      <w:r>
        <w:rPr>
          <w:rFonts w:eastAsia="Times New Roman" w:cs="Times New Roman" w:ascii="Times New Roman" w:hAnsi="Times New Roman"/>
          <w:b/>
          <w:sz w:val="24"/>
          <w:szCs w:val="24"/>
          <w:u w:val="single"/>
        </w:rPr>
        <w:t>ESCRITURA PÚBLICA</w:t>
      </w:r>
    </w:p>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bl>
      <w:tblPr>
        <w:tblStyle w:val="Table1"/>
        <w:tblW w:w="9854" w:type="dxa"/>
        <w:jc w:val="left"/>
        <w:tblInd w:w="-108" w:type="dxa"/>
        <w:tblLayout w:type="fixed"/>
        <w:tblCellMar>
          <w:top w:w="0" w:type="dxa"/>
          <w:left w:w="108" w:type="dxa"/>
          <w:bottom w:w="0" w:type="dxa"/>
          <w:right w:w="108" w:type="dxa"/>
        </w:tblCellMar>
        <w:tblLook w:val="0000"/>
      </w:tblPr>
      <w:tblGrid>
        <w:gridCol w:w="459"/>
        <w:gridCol w:w="8174"/>
        <w:gridCol w:w="610"/>
        <w:gridCol w:w="610"/>
      </w:tblGrid>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bookmarkStart w:id="0" w:name="gjdgxs"/>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bookmarkEnd w:id="0"/>
            <w:r>
              <w:rPr>
                <w:rFonts w:eastAsia="Times New Roman" w:cs="Times New Roman" w:ascii="Times New Roman" w:hAnsi="Times New Roman"/>
                <w:position w:val="0"/>
                <w:sz w:val="20"/>
                <w:sz w:val="20"/>
                <w:szCs w:val="20"/>
                <w:vertAlign w:val="baseline"/>
              </w:rPr>
              <w:t>1</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título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título hábil para inscrição?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título físico, assinado manuscritamente, pode ser apresentada por meio do protocolo presencial, na via original ou em cópia autenticada, ou por meio do Serviço de Atendimento Eletrônico Compartilhado - SAEC, com cópia digitalizada, desde que seja possível conferir a autenticidade por meio do selo de fiscalização ou da plataforma do e-Notariado.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escritura seja digital, serão admitidas assinaturas eletrônicas qualificadas, com uso de certificado emitido com os requisitos da Infraestrutura de Chaves Públicas Brasileira - ICP-Brasil, ou avançadas, por meio do e-Notariado.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308, 762, 809 e 815 do Código de Normas da Corregedoria-Geral da Justiça do Estado de Santa Catarina - CNCGFE/SC.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3</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conferida a autenticidade do título apresentado?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conferência da autenticidade pode ser realizada por meio: (a) do selo digital de fiscalização, quando o Tribunal de Justiça dispuser de plataforma que contenha informações suficientes para vinculação do ato; (b) da plataforma do e-Notariado, se o instrumento permitir; ou (c) de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ou ligação telefônica reduzida a termo, pelos contatos disponíveis no cadastro da serventia no CNJ.   </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 autenticidade do ato só é garantida depois do recebimento dos dados pelo Poder Judiciário.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308, 355, parágrafo 1º, e 809 do CNCGFE/SC.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4</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a qualificação dos transmitentes?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estado civil, CPF e endereço.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de uma pessoa jurídica são: denominação social, CNPJ, sede e representantes.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 os transmitentes forem casados por um regime diverso do legal deve constar na escritura o registro do pacto antenupcial.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476 do Código de Normas da Corregedoria-Geral de Justiça de Santa Catarina - 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os transmitentes forem pessoas físicas casadas, é necessária a autorização do outro cônjuge para alienar bens imóveis, salvo se for adotado o regime da separação de bens ou se, adotado o regime da participação final nos aquestos, houver estipulação expressa no pacto antenupcial sobre a livre disposição dos bens.</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1.647, inciso I, 1.656 e 1.687 do Código Civil - CC.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5</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os transmitentes sejam pessoas físicas não casadas (solteiro, separado, divorciado ou viúvo), consta na escritura a declaração de união estável?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conviva em união estável deve constar a qualificação completa do companheiro e o regime de bens que vigora na união estável.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declaração, quando negativa, deve constar expressamente na escritura.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pactuado regime de bens na união estável, vigora entre os companheiros o regime da comunhão parcial de bens, motivo pelo qual o companheiro deve figurar na escritura como interveniente anuente.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pactuado o regime da comunhão universal de bens na união estável, o companheiro deve figurar na escritura como transmitente.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pactuado o regime da separação de bens na união estável, o companheiro não precisa assinar a escritura como interveniente anuente. </w:t>
            </w:r>
          </w:p>
          <w:p>
            <w:pPr>
              <w:pStyle w:val="Normal1"/>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Provimento 6/2003 da CGJ/SC e artigo 1.647, inciso II do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os transmitentes declararem conviver em união estável e essa informação não constar na matrícula do imóvel (aquisição anterior), é necessário averbar a união estável antes do registro da escritura.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na matrícula do imóvel (aquisição anterior) constar a existência de união estável e na escritura os transmitentes declararem não conviver, é necessário averbar a dissolução da união estável.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685, inciso VIII e 687 do CNCGJ/SC, artigos 1º e 5º da Lei 9.278/1996, artigos 1.723 e 1.725 do CC, artigo 226, parágrafo 3º da Constituição Federal e artigos 167, inciso II, itens 1, 5 e 10, 169, 195 e 237 da LRP.</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6</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averbação referente à qualificação dos transmitentes (retificação de dados de qualificação, casamento, separação, divórcio, alteração da razão social, dissolução de união estável, etc.)?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de retificação pode ser realizada com base na própria escritura, quando os dados necessários constarem expressamente.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pode ser realizada ainda por meio de requerimento, acompanhado dos documentos competentes, apresentados em protocolo separado.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e 176, parágrafo 1º, inciso II, item 4, inciso III, item 2 e 213, inciso I, alínea “g” da LRP e artigo 688, parágrafo 6º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706, parágrafo 6º, 713, parágrafos 8º e 9º, do CN/CG-Extra.</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7</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a qualificação dos adquirentes?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estado civil, CPF e endereço.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de uma pessoa jurídica são: denominação social, CNPJ e sede.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 os adquirentes forem casados por um regime diverso do legal, deve constar na escritura o registro do pacto antenupcial.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476 do CNCGJ/SC.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8</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os imóveis tenham matrículas próprias, pode ser consignado no título somente a localização completa e o número da matrícula, não havendo necessidade da transcrição completa da descrição.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parágrafo 1º, da Lei 7.433/1985 e artigo 222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houver edificação no terreno, é necessário constar o nome do logradouro, a expressão “s/nº”, se o imóvel fica no lado par ou ímpar do logradouro e a indicação: (a) da distância da esquina ou edificação mais próxima; ou (b) da numeração predial de imóvel confrontante, complementando, ainda, se este fica do lado direito ou esquerdo.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e 225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no título indícios da existência de parcelamento de solo clandestino, devemos encaminhar Ofício para o Ministério Público, com cópia da documentação apresentada.</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1.038 do CNCGFE/SC.</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 descrição da matrícula for omissa em relação às medidas perimetrais e/ou área total, é recomendável a realização do procedimento de retificação de área, previsto nos artigos 212 e 213 da LRP. Todavia, quando não houver dúvida sobre a identificação do imóvel e o mesmo for alienado ou onerado integralmente, fica facultado ao interessado requerer que seja realizada a inscrição do título sem a especialização do imóvel, ficando ciente de que a retificação de área será exigida caso seja necessário inscrever algum ato em que a conferência dos elementos de qualificação do imóvel seja imprescindível, como por exemplo: atingimento do sistema viário, unificação, parcelamento do solo, incorporação imobiliária, instituição de condomínio, etc.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Decisão proferida em 05/02/2018 no Processo SAE 11278-LAUNSO, pelo Juiz - Diretor do Foro da Comarca da Capital/SC.</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objeto do título for um terreno e foram prometidas em pagamento unidades autônomas ainda não incorporadas ou instituídas, devemos solicitar a apresentação: (a) dos documentos relativos ao registro da incorporação ou da instituição, em protocolo separado, para registro concomitante; ou (b) de requerimento de cindibilidade, para que o registro seja realizado somente sobre o terreno, ficando o registro da promessa das unidades autônomas para um momento posterior.</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13, 169, 172, 195, 217, 227, 236 e 237 da LRP, artigo 32 da Lei 4.591/1964 e artigo 1.332 do CC.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a primeira alienação ou oneração prenotada após o registro da incorporação, devemos observar se decorreu o prazo de 180 dias para concretização da incorporação. Considera-se concretizada a incorporação quando ocorrer uma das seguintes hipóteses: (a) formalização da alienação ou da oneração de alguma unidade futura, comprovada mediante a apresentação de instrumento de promessa de compra e venda ou da venda definitiva; (b) contratação de financiamento para a construção; ou (c) início das obras do empreendimento, a ser comprovada mediante declaração do incorporador.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for possível a comprovação, devemos realizar uma averbação na matrícula para constar a concretização da incorporação. Todavia, se o incorporador não puder comprovar, deverá apresentar requerimento e as certidões e documentos, quando estes estiverem com prazo de validade vencido, previstos no artigo 32 da Lei 4.591/1964, para averbação da revalidação do registro.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33 da Lei 4.591/1964 e artigo 1.078 do CNCGFE/SC.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9</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imóveis são urbanos?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rural, devem constar na matrícula a averbação com: (a) os dados do Certificado de Cadastro do Imóvel Rural (CCIR); (b) os dados da inscrição no Cadastro Ambiental Rural – CAR; e (c) as coordenadas georreferenciadas, certificada pelo INCRA, nos casos de imóveis com área igual ou superior a 250.000,00m². Caso não constem, devem ser apresentados os documentos competentes para a averbação.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 constar no título ou ser apresentada a Certidão Negativa de Débitos Relativos ao Imposto sobre a Propriedade Territorial Rural (CND-ITR) ou a declaração de dispensa dos adquirentes.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rural e o objeto da transferência seja parte do imóvel da matrícula, devemos observar os requisitos para parcelamento do solo.</w:t>
            </w:r>
          </w:p>
          <w:p>
            <w:pPr>
              <w:pStyle w:val="Normal1"/>
              <w:widowControl w:val="fals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seja rural e esteja sendo adquirido por pessoa estrangeira, física ou jurídica, devemos observar os requisitos da Lei 5.709/1971.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na matrícula a informação de que o imóvel é rural, mas o imóvel não tenha tal destinação, deve ser apresentado, em protocolo separado, ofício de cancelamento do cadastro expedido pelo INCRA.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 item 3, alínea “a”, da LRP, artigos 12, 18 e 19 da Lei 12.651/2012, artigo 685, inciso XII e parágrafo 3º, do CNCGJ/SC, artigos 4º, inciso I, e 65 da Lei 4.504/1964, artigo 15 do Decreto-Lei 57/1966, artigo 21 da Lei 9.393/1996, artigo 677-A do CNCGJ/SC e artigo 8º da Lei 5.868/1972.</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trate-se de imóvel cadastrado como área de marinha deve constar no título ou ser apresentada a Certidão de Autorização de Transferência (CAT), com menção ao número do Registro Imobiliário Patrimonial (RIP).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e 2º do Decreto-Lei 9.760/1946, artigos 1º e 2º da Lei 9.636/1998 e artigos 3º e 3º-A do Decreto-Lei 2.398/1987.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imóveis de marinha sob o regime de ocupação, com títulos lavrados entre particulares até 10/06/2014, não devemos exigir a apresentação da CAT.</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7º, parágrafo 7º da Lei 9.636/1998 e artigo 8º, parágrafo 4º da Instrução Normativa 01/2018 da Secretaria do Patrimônio da União (SPU).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10</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inscrição referente ao imóvel (inscrição imobiliária, logradouro, construção, desmembramento, incorporação imobiliária, unificação, CAR, etc.)?</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Algumas averbações, como a inscrição imobiliária e o logradouro, podem ser realizadas com base no próprio título, desde que os dados necessários constem expressamente no mesmo. No entanto, os demais atos devem ser realizados por meio de protocolo apartado, no qual devem ser apresentados o requerimento e os documentos competentes.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212, 213 e 225, todos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701, parágrafo 2º,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eastAsia="Times New Roman" w:cs="Times New Roman" w:ascii="Times New Roman" w:hAnsi="Times New Roman"/>
                <w:i/>
                <w:sz w:val="20"/>
                <w:szCs w:val="20"/>
              </w:rPr>
              <w:t>habite-se</w:t>
            </w:r>
            <w:r>
              <w:rPr>
                <w:rFonts w:eastAsia="Times New Roman" w:cs="Times New Roman" w:ascii="Times New Roman" w:hAnsi="Times New Roman"/>
                <w:sz w:val="20"/>
                <w:szCs w:val="20"/>
              </w:rPr>
              <w:t xml:space="preserve"> ou, mesmo que possua, sua averbação não for possível devido à dependência de outro procedimento, como usucapião, unificação, 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798 do CNCGFE/SC.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1</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os valores individualizados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valores declarados devem constar individualizadamente para cada imóvel, mesmo em se tratando de unidades autônomas de condomínios edilícios (ex: apartamento, vaga de garagem e hobby-box).</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III, item 5 da LRP e artigo 802, inciso IX do CNCGJ/SC.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2</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valores declarados pelas partes, para o negócio jurídico e/ou para fins de lançamento fiscal, apresentam dissonância com o valor de mercado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o valor declarado atingir o teto dos emolumentos, não devemos realizar nenhuma providência, mas quando não atingir, podemos utilizar como parâmetros, para encontrar o valor de mercado, os valores das transações anteriores constantes da mesma matrícula, atualizados monetariamente, os valores de transações atuais constantes nas matrículas de unidades similares, no mesmo empreendimento, </w:t>
            </w:r>
            <w:r>
              <w:rPr>
                <w:rFonts w:eastAsia="Times New Roman" w:cs="Times New Roman" w:ascii="Times New Roman" w:hAnsi="Times New Roman"/>
                <w:i/>
                <w:sz w:val="20"/>
                <w:szCs w:val="20"/>
              </w:rPr>
              <w:t>sites</w:t>
            </w:r>
            <w:r>
              <w:rPr>
                <w:rFonts w:eastAsia="Times New Roman" w:cs="Times New Roman" w:ascii="Times New Roman" w:hAnsi="Times New Roman"/>
                <w:sz w:val="20"/>
                <w:szCs w:val="20"/>
              </w:rPr>
              <w:t xml:space="preserve"> de compra e venda de imóveis ou de imobiliárias, tabela FIPE, valor de avaliação fiscal, entre outros.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Encontrado valor de mercado acima do valor declarado, devemos solicitar declaração de valor de mercado, indicando qual o parâmetro utilizado para impugnação, bem como a complementação dos custos de registro.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 valor de mercado servirá, exclusivamente, como base de cálculo dos emolumentos, FRJ e ISS, não sendo necessária a complementação de outros tributos incidentes sobre o ato.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320 do CNCGFE/SC e artigo 6º, parágrafo 3º,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necessária a apresentação de declaração apartada, esta poderá ser assinada por qualquer um dos outorgados. Caso seja assinada manuscritamente deve conter o reconhecimento de firma e caso seja assinada digitalmente, serão admitidas assinaturas eletrônicas qualificadas, com uso de certificado emitido com os requisitos da Infraestrutura de Chaves Públicas Brasileira (ICP-Brasil), ou avançadas, por meio do “Portal Gov.br”.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221, inciso II, da Lei 6.015/1973 e artigo 762 do CNCGFE/SC.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13</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 certidão negativa de débitos federais relativa ao outorgante?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regularidade fiscal perante a Fazenda Nacional será comprovada por meio da certidão negativa expedida conjuntamente pela Receita Federal e pela Procuradoria-Geral da Fazenda Nacional, referente a todos os créditos tributários federais e à dívida ativa da União.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possível a dispensa da certidão, mediante declaração do: (a) outorgante, quando for pessoa física que não exerce qualquer atividade que o equipare à pessoa jurídica, não estando, portanto, sujeito às contribuições sociais; e (b) outorgante, acompanhada dos documentos societários para comprovação do objeto social, quando a empresa outorgante explorar, exclusivamente, atividades de compra e venda, locação, desmembramento, loteamento, incorporação imobiliária ou construção de imóveis destinados à venda, contanto que os imóveis objetos da transação estejam contabilmente lançados no seu ativo circulante e não tenham constado, em seu ativo permanente.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a apresentação da certidão ou da declaração de dispensa, o título poderá ser retificado para consigná-la ou poderá ser apresentada em documento apartado. Na hipótese de apresentação apartada da declaração mencionada no item b, deverão ser apresentados, também, os documentos societários para comprovação do objeto social.</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47, inciso I, alínea “b” da Lei 8.212/1991, artigo 680, parágrafo único, do CN/CG-Extra e artigos 1º e 17 da Portaria Conjunta RFB-PGFN 1.751/2014.</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declaração seja física e apresentada apartada, deve conter o reconhecimento de firma e quando tratar-se de documento digital, serão admitidas assinaturas eletrônicas qualificadas, com uso de certificado emitido com os requisitos da Infraestrutura de Chaves Públicas Brasileira (ICP-Brasil), ou avançadas, por meio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 ou do “Portal Gov.br”.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 parágrafos 1º e 2º, da LRP, artigo 4º, incisos II e III, c/c artigo 5º, parágrafo 2º, inciso IV, da Lei 14.063/2020, artigo 762 do CN/CG-Extra.</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14</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das certidões de ônus reais e de ações reais e pessoais reipersecutórias incidentes sobre 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possível, ainda, que o título seja lavrado apenas com a apresentação da certidão de inteiro teor da matrícula, mas deverá constar no título certificação quanto à existência ou inexistência de ônus reais e de ações reais e pessoais reipersecutórias.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no título a apresentação das certidões de ônus e ações ou da certidão de inteiro teor acompanhada da certificação, o título poderá ser retificado para consigná-las ou poderão ser apresentadas apartadas.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da situação jurídica atualizada do imóvel não substitui as certidões mencionadas acima.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1º, parágrafo 2º, da Lei 7.433/1985, artigo 1º, inciso IV, do Decreto 93.240/1986 e artigo 770 do CNCGFE/SC.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5</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das certidões de débitos municipais relativas aos imóveis ou a declaração de dispensa pelos adquirentes?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Caso não conste, o título poderá ser retificado para consigná-la ou poderá ser apresentada em documento apartado.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1º, parágrafo 2º, da Lei 7.433/1985 e artigo 1º, inciso III, alínea “a”, do Decreto 93.240/1986.</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6</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os imóveis sejam unidades autônomas, consta no título a apresentação da prova de quitação dos débitos condominiais ou a declaração de dispensa?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quitação pode ser comprovada mediante declaração do transmitente, do síndico ou da administradora do condomínio. Ademais, o adquirente pode dispensar a apresentação da comprovação de quitação ou da declaração do transmitente, assumindo eventual dívida existente.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na escritura, a mesma poderá ser retificada ou a comprovação da quitação ou a declaração de dispensa pode ser apresentada apartada.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a quitação seja apartada e declarada: (a) pelo síndico, deve ser apresentada a ata de assembleia em que este foi eleito; e (b) pela administradora do condomínio, deve ser apresentada a ata de assembleia em que esta foi eleita, assim como os documentos societários da administradora para conferência da representação.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declaração seja física, assinada manuscritamente, deve conter o reconhecimento de firma. Caso seja digital, serão admitidas assinaturas eletrônicas qualificadas, com uso de certificado emitido com os requisitos da Infraestrutura de Chaves Públicas Brasileira (ICP-Brasil), ou avançadas, por meio do “Portal Gov.br”.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é necessária a prova de quitação nas transferências de unidades autônomas em fase de incorporação imobiliária.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4º, parágrafo único, da Lei 4.591/1964 e artigos 762 e 813 do CN/CG-Extra.</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7</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Sobre os imóveis incide algum ônus ou ação judicial?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não impeditivo de alienação (ex: hipoteca e penhora comuns, servidão, etc.), os adquirentes devem declarar ciência.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1º da LRP e artigo 1º da Lei 8.935/1994.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impeditivo de alienação (ex: alienação fiduciária, hipoteca cedular, hipoteca em favor do SFH, penhora da União Federal ou de suas autarquias e fundações, promessa de alienação em favor de terceiro, indisponibilidade, etc.), o interessado pode promover o cancelamento do gravame ou apresentar uma autorização do instituidor, quando possível.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 da Lei 9.514/1997 e artigo 1.368-B do CC (alienação fiduciária); artigo 59 do Decreto-Lei 167/1967, artigo 51 do Decreto-Lei 413/1969, artigo 3º da Lei 6.313/1975, artigo 5º da Lei 6.840/1980 e artigos 30 e 34, parágrafo 2º da Lei 10.931/2004 (hipotecas cedulares); artigo 1º, parágrafo único da Lei 8.004/1990 e artigo 292 da LRP (hipoteca do SFH); artigo 53, parágrafo 1º da Lei 8.212/1991 (penhora da União e suas autarquias e fundações); artigos 1.417 e 1.418 do CC (promessa de compra e venda); e Provimento 39/2014 do CNJ (indisponibilidade).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18</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Consta na escritura o recolhimento do Imposto sobre a Transmissão Onerosa de Bens Imóveis por Ato </w:t>
            </w:r>
            <w:r>
              <w:rPr>
                <w:rFonts w:eastAsia="Times New Roman" w:cs="Times New Roman" w:ascii="Times New Roman" w:hAnsi="Times New Roman"/>
                <w:b/>
                <w:i/>
                <w:sz w:val="20"/>
                <w:szCs w:val="20"/>
                <w:u w:val="single"/>
              </w:rPr>
              <w:t xml:space="preserve">Inter Vivos </w:t>
            </w:r>
            <w:r>
              <w:rPr>
                <w:rFonts w:eastAsia="Times New Roman" w:cs="Times New Roman" w:ascii="Times New Roman" w:hAnsi="Times New Roman"/>
                <w:b/>
                <w:sz w:val="20"/>
                <w:szCs w:val="20"/>
                <w:u w:val="single"/>
              </w:rPr>
              <w:t>(ITBI)?</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 constar, ainda, os valores de avaliação para fins de ITBI relativos a cada imóvel. Caso os valores de avaliação para fins de ITBI sejam iguais aos declarados pelas partes para o negócio jurídico, pode constar na escritura apenas o valor total de avaliação.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505, 802, inciso I, e 803 do CNCGJ/SC, artigos 283, inciso III, e 287 do Código Tributário do Município de Florianópolis/SC, artigo 134, inciso VI do Código Tributário Nacional, artigo 289 da LRP e artigo 30, inciso XI da Lei 8.935/1994.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Nos casos em que a transferência se enquadrar na hipótese de imunidade, podem ser apresentados o termo de liberação para fins de transmissão ou a certidão de dispensa de recolhimento, ambos emitidos pela Secretaria Municipal da Fazenda.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156, parágrafo 2º, inciso I da Constituição Federal, artigos 208-A e 287, parágrafo 1º da Lei Complementar 007/1997 e Instrução Normativa 01/SMF/GAB/2021.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19</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Registro (com valor)</w:t>
            </w:r>
            <w:r>
              <w:rPr>
                <w:rFonts w:eastAsia="Times New Roman" w:cs="Times New Roman" w:ascii="Times New Roman" w:hAnsi="Times New Roman"/>
                <w:sz w:val="20"/>
                <w:szCs w:val="20"/>
              </w:rPr>
              <w:t>: Serão devidos os emolumentos correspondentes aos valores constantes no item 2.2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65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Base de Cálculo</w:t>
            </w:r>
            <w:r>
              <w:rPr>
                <w:rFonts w:eastAsia="Times New Roman" w:cs="Times New Roman" w:ascii="Times New Roman" w:hAnsi="Times New Roman"/>
                <w:sz w:val="20"/>
                <w:szCs w:val="20"/>
              </w:rPr>
              <w:t xml:space="preserve">: A base de cálculo deve ser o maior valor entre o valor declarado para o negócio, o valor venal atribuído para fins de cobrança do imposto de transmissão e o valor real ou de mercado.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6º da Lei Complementar 755/2019 c/c artigo 320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Unidades Acessórias</w:t>
            </w:r>
            <w:r>
              <w:rPr>
                <w:rFonts w:eastAsia="Times New Roman" w:cs="Times New Roman" w:ascii="Times New Roman" w:hAnsi="Times New Roman"/>
                <w:sz w:val="20"/>
                <w:szCs w:val="20"/>
              </w:rPr>
              <w:t>: Nos registros de negócio jurídico, com as mesmas partes e que envolvam unidades autônomas principais (apartamento, sala, loja, etc.) e unidades autônomas “acessórias” (vaga, hobby-box, etc.) devem ser cobrados emolumentos integrais pelo imóvel de maior valor e 2/3 (redução de 1/3) dos emolumentos previstos na tabela para as unidades autônomas “acessórias”.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66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36 da Lei Municipal 3003/2011.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20</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positivamente?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Antes da inscrição, devemos cadastrar o ato para a emissão da Declaração sobre Operações Imobiliárias (DOI).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da Instrução Normativa RFB 1.112/2010.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imóvel seja de marinha, devemos cadastrar o ato, também, para a emissão da Declaração sobre Operações Imobiliárias de Terrenos da União (DOITU).</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3º-A do Decreto-Lei 2.398/1987 e artigo 2º da Portaria SPU/ME 24.218/2020.</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r>
              <w:rPr>
                <w:rFonts w:eastAsia="Times New Roman" w:cs="Times New Roman" w:ascii="Times New Roman" w:hAnsi="Times New Roman"/>
                <w:sz w:val="20"/>
                <w:szCs w:val="20"/>
              </w:rPr>
              <w:t>1</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sectPr>
      <w:type w:val="nextPage"/>
      <w:pgSz w:w="11906" w:h="16838"/>
      <w:pgMar w:left="1134" w:right="1134" w:gutter="0" w:header="0" w:top="567"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6</Pages>
  <Words>3988</Words>
  <Characters>22029</Characters>
  <CharactersWithSpaces>25878</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2024-04-26T16:19:15Z</dcterms:modified>
  <cp:revision>1</cp:revision>
  <dc:subject/>
  <dc:title/>
</cp:coreProperties>
</file>