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pageBreakBefore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drawing>
          <wp:inline distT="0" distB="0" distL="0" distR="0">
            <wp:extent cx="2755900" cy="866140"/>
            <wp:effectExtent l="0" t="0" r="0" b="0"/>
            <wp:docPr id="1" name="Picture 32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22" descr="Texto&#10;&#10;Descrição gerada automaticamente"/>
                    <pic:cNvPicPr>
                      <a:picLocks noChangeAspect="1" noChangeArrowheads="1"/>
                    </pic:cNvPicPr>
                  </pic:nvPicPr>
                  <pic:blipFill>
                    <a:blip r:embed="rId2"/>
                    <a:stretch>
                      <a:fillRect/>
                    </a:stretch>
                  </pic:blipFill>
                  <pic:spPr bwMode="auto">
                    <a:xfrm>
                      <a:off x="0" y="0"/>
                      <a:ext cx="2755900" cy="866140"/>
                    </a:xfrm>
                    <a:prstGeom prst="rect">
                      <a:avLst/>
                    </a:prstGeom>
                  </pic:spPr>
                </pic:pic>
              </a:graphicData>
            </a:graphic>
          </wp:inline>
        </w:drawing>
      </w:r>
    </w:p>
    <w:p>
      <w:pPr>
        <w:pStyle w:val="Normal1"/>
        <w:spacing w:lineRule="auto" w:line="240" w:before="0" w:after="0"/>
        <w:rPr>
          <w:rFonts w:ascii="Times New Roman" w:hAnsi="Times New Roman" w:eastAsia="Times New Roman" w:cs="Times New Roman"/>
          <w:position w:val="0"/>
          <w:sz w:val="20"/>
          <w:sz w:val="20"/>
          <w:szCs w:val="20"/>
          <w:vertAlign w:val="baseline"/>
        </w:rPr>
      </w:pPr>
      <w:r>
        <w:rPr/>
      </w:r>
    </w:p>
    <w:p>
      <w:pPr>
        <w:pStyle w:val="Normal1"/>
        <w:spacing w:lineRule="auto" w:line="240" w:before="0" w:after="0"/>
        <w:rPr>
          <w:rFonts w:ascii="Times New Roman" w:hAnsi="Times New Roman" w:eastAsia="Times New Roman" w:cs="Times New Roman"/>
          <w:position w:val="0"/>
          <w:sz w:val="20"/>
          <w:sz w:val="20"/>
          <w:szCs w:val="20"/>
          <w:vertAlign w:val="baseline"/>
        </w:rPr>
      </w:pPr>
      <w:r>
        <w:rPr/>
      </w:r>
    </w:p>
    <w:p>
      <w:pPr>
        <w:pStyle w:val="Normal1"/>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PROTOCOLO: ______________  MATRÍCULA(S): __________________________________________</w:t>
      </w:r>
    </w:p>
    <w:p>
      <w:pPr>
        <w:pStyle w:val="Normal1"/>
        <w:pageBreakBefore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p>
      <w:pPr>
        <w:pStyle w:val="Normal1"/>
        <w:pageBreakBefore w:val="false"/>
        <w:spacing w:lineRule="auto" w:line="240" w:before="0" w:after="0"/>
        <w:rPr>
          <w:rFonts w:ascii="Times New Roman" w:hAnsi="Times New Roman" w:eastAsia="Times New Roman" w:cs="Times New Roman"/>
          <w:position w:val="0"/>
          <w:sz w:val="24"/>
          <w:sz w:val="24"/>
          <w:szCs w:val="24"/>
          <w:u w:val="single"/>
          <w:vertAlign w:val="baseline"/>
        </w:rPr>
      </w:pPr>
      <w:r>
        <w:rPr>
          <w:rFonts w:eastAsia="Times New Roman" w:cs="Times New Roman" w:ascii="Times New Roman" w:hAnsi="Times New Roman"/>
          <w:b/>
          <w:position w:val="0"/>
          <w:sz w:val="24"/>
          <w:sz w:val="24"/>
          <w:szCs w:val="24"/>
          <w:u w:val="single"/>
          <w:vertAlign w:val="baseline"/>
        </w:rPr>
        <w:t xml:space="preserve">INVENTÁRIO - </w:t>
      </w:r>
      <w:r>
        <w:rPr>
          <w:rFonts w:eastAsia="Times New Roman" w:cs="Times New Roman" w:ascii="Times New Roman" w:hAnsi="Times New Roman"/>
          <w:b/>
          <w:sz w:val="24"/>
          <w:szCs w:val="24"/>
          <w:u w:val="single"/>
        </w:rPr>
        <w:t>ESCRITURA PÚBLICA</w:t>
      </w:r>
    </w:p>
    <w:p>
      <w:pPr>
        <w:pStyle w:val="Normal1"/>
        <w:pageBreakBefore w:val="false"/>
        <w:spacing w:lineRule="auto" w:line="240" w:before="0" w:after="0"/>
        <w:rPr>
          <w:rFonts w:ascii="Times New Roman" w:hAnsi="Times New Roman" w:eastAsia="Times New Roman" w:cs="Times New Roman"/>
          <w:position w:val="0"/>
          <w:sz w:val="20"/>
          <w:sz w:val="20"/>
          <w:szCs w:val="20"/>
          <w:u w:val="single"/>
          <w:vertAlign w:val="baseline"/>
        </w:rPr>
      </w:pPr>
      <w:r>
        <w:rPr>
          <w:rFonts w:eastAsia="Times New Roman" w:cs="Times New Roman" w:ascii="Times New Roman" w:hAnsi="Times New Roman"/>
          <w:position w:val="0"/>
          <w:sz w:val="20"/>
          <w:sz w:val="20"/>
          <w:szCs w:val="20"/>
          <w:u w:val="single"/>
          <w:vertAlign w:val="baseline"/>
        </w:rPr>
      </w:r>
    </w:p>
    <w:tbl>
      <w:tblPr>
        <w:tblStyle w:val="Table1"/>
        <w:tblW w:w="9854" w:type="dxa"/>
        <w:jc w:val="left"/>
        <w:tblInd w:w="-108" w:type="dxa"/>
        <w:tblLayout w:type="fixed"/>
        <w:tblCellMar>
          <w:top w:w="0" w:type="dxa"/>
          <w:left w:w="108" w:type="dxa"/>
          <w:bottom w:w="0" w:type="dxa"/>
          <w:right w:w="108" w:type="dxa"/>
        </w:tblCellMar>
        <w:tblLook w:val="0000"/>
      </w:tblPr>
      <w:tblGrid>
        <w:gridCol w:w="459"/>
        <w:gridCol w:w="8174"/>
        <w:gridCol w:w="610"/>
        <w:gridCol w:w="610"/>
      </w:tblGrid>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Sim</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Não</w:t>
            </w:r>
            <w:bookmarkStart w:id="0" w:name="gjdgxs"/>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bookmarkEnd w:id="0"/>
            <w:r>
              <w:rPr>
                <w:rFonts w:eastAsia="Times New Roman" w:cs="Times New Roman" w:ascii="Times New Roman" w:hAnsi="Times New Roman"/>
                <w:position w:val="0"/>
                <w:sz w:val="20"/>
                <w:sz w:val="20"/>
                <w:szCs w:val="20"/>
                <w:vertAlign w:val="baseline"/>
              </w:rPr>
              <w:t>1</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outra prenotação vinculada às matrículas objetos do presente título?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conferência da prenotação deve ser realizada pelo campo “visualizar pendências do imóvel”, na aba de matrículas, quando da conferência inicial, do registro e da conferência final.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Se a resposta for positiva, devemos verificar se os títulos ou procedimentos prenotados impedem a inscrição do ato requerido ou se, não impedindo, qual deve ser inscrito primeiro.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haja divergência entre as matrículas constantes no título e as matrículas prenotadas no sistema, devemos corrigir a prenotação e anotar a correção manuscritamente no protocolo.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11, 12, 174, 182, 186 e 190 da Lei 6.015/1973 - Lei de Registros Públicos - LRP.</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2</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apresentado o título hábil para inscrição?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título físico, assinado manuscritamente, pode ser apresentada por meio do protocolo presencial, na via original ou em cópia autenticada, ou por meio do Serviço de Atendimento Eletrônico Compartilhado - SAEC, com cópia digitalizada, desde que seja possível conferir a autenticidade por meio do selo de fiscalização ou da plataforma do e-Notariado.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a escritura seja digital, serão admitidas assinaturas eletrônicas qualificadas, com uso de certificado emitido com os requisitos da Infraestrutura de Chaves Públicas Brasileira - ICP-Brasil, ou avançadas, por meio do e-Notariado.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308, 762, 809 e 815 do Código de Normas da Corregedoria-Geral da Justiça do Estado de Santa Catarina - CNCGFE/SC.</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3</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conferida a autenticidade do título apresentado?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A conferência da autenticidade pode ser realizada por meio: (a) do selo digital de fiscalização, quando o Tribunal de Justiça dispuser de plataforma que contenha informações suficientes para vinculação do ato; (b) da plataforma do e-Notariado, se o instrumento permitir; ou (c) de </w:t>
            </w:r>
            <w:r>
              <w:rPr>
                <w:rFonts w:eastAsia="Times New Roman" w:cs="Times New Roman" w:ascii="Times New Roman" w:hAnsi="Times New Roman"/>
                <w:i/>
                <w:sz w:val="20"/>
                <w:szCs w:val="20"/>
              </w:rPr>
              <w:t>e-mail</w:t>
            </w:r>
            <w:r>
              <w:rPr>
                <w:rFonts w:eastAsia="Times New Roman" w:cs="Times New Roman" w:ascii="Times New Roman" w:hAnsi="Times New Roman"/>
                <w:sz w:val="20"/>
                <w:szCs w:val="20"/>
              </w:rPr>
              <w:t xml:space="preserve"> ou ligação telefônica reduzida a termo, pelos contatos disponíveis no cadastro da serventia no CNJ.   </w:t>
            </w:r>
          </w:p>
          <w:p>
            <w:pPr>
              <w:pStyle w:val="Normal1"/>
              <w:widowControl w:val="false"/>
              <w:spacing w:lineRule="auto" w:line="240" w:before="0" w:after="0"/>
              <w:jc w:val="both"/>
              <w:rPr>
                <w:rFonts w:ascii="Times New Roman" w:hAnsi="Times New Roman" w:eastAsia="Times New Roman" w:cs="Times New Roman"/>
                <w:sz w:val="20"/>
                <w:szCs w:val="20"/>
                <w:u w:val="single"/>
              </w:rPr>
            </w:pPr>
            <w:r>
              <w:rPr>
                <w:rFonts w:eastAsia="Times New Roman" w:cs="Times New Roman" w:ascii="Times New Roman" w:hAnsi="Times New Roman"/>
                <w:sz w:val="20"/>
                <w:szCs w:val="20"/>
              </w:rPr>
              <w:t>- A autenticidade do ato só é garantida depois do recebimento dos dados pelo Poder Judiciário.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308, 355, parágrafo 1º, e 809 do CNCGFE/SC.</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4</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A escritura contém a qualificação do autor da herança?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Na qualificação do autor da herança deve constar: o nome, o número do CPF, o dia e lugar que faleceu, os dados da certidão de óbito, o regime de bens do casamento e o registro do pacto antenupcial, se for o caso.</w:t>
            </w:r>
          </w:p>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21 da Resolução 35/2007 do CNJ, artigo 176, parágrafo 1º, inciso III, item 2, alíneas “a” e “b” da LRP e artigo 476 do CNCGJ/SC.</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5</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Deve ser realizada alguma averbação referente à qualificação do autor da herança (óbito, retificação de dados de qualificação, casamento, separação, divórcio, etc.)?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averbação do óbito deve ser realizada antes do registro da partilha, com base na própria escritura.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averbação de retificação pode ser realizada com base na própria escritura, quando os dados necessários constarem expressamente.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averbação pode ser realizada ainda por meio de requerimento, acompanhado dos documentos competentes, apresentados em protocolo separado.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167, inciso II e 176, parágrafo 1º, inciso II, item 4, inciso III, item 2 e 213, inciso I, alínea “g” da LRP e artigo 688, parágrafo 6º do CNCGJ/SC.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complementação de dados de especialidade subjetiva ausentes ou insuficientes, ou sua modificação, será objeto de ato único por pessoa ou casal, ainda que faça referência a vários elementos, excetuadas as hipóteses de títulos diversos, que devem ter prenotações distintas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706, parágrafo 6º, 713, parágrafos 8º e 9º, do CN/CG-Extra.</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6</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qualificação dos adquirentes?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elementos mínimos para qualificação das pessoas físicas são: nome, nacionalidade, estado civil, CPF e endereço.</w:t>
            </w:r>
          </w:p>
          <w:p>
            <w:pPr>
              <w:pStyle w:val="Normal1"/>
              <w:keepNext w:val="false"/>
              <w:keepLines w:val="false"/>
              <w:widowControl w:val="false"/>
              <w:pBdr/>
              <w:shd w:val="clear" w:fill="auto"/>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20 da Resolução 35/2007 do CNJ, artigo 176, parágrafo 1º, inciso III, item 2, alíneas “a” e “b” da LRP e artigo 476 do CNCGJ/SC.</w:t>
            </w:r>
          </w:p>
          <w:p>
            <w:pPr>
              <w:pStyle w:val="Normal1"/>
              <w:keepNext w:val="false"/>
              <w:keepLines w:val="false"/>
              <w:widowControl w:val="false"/>
              <w:pBdr/>
              <w:shd w:val="clear" w:fill="auto"/>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cônjuges ou companheiros dos herdeiros devem comparecer na escritura quando houver renúncia ou algum tipo de partilha que importe em transmissão, exceto se o casamento se der sob o regime da separação convencional de bens.</w:t>
            </w:r>
          </w:p>
          <w:p>
            <w:pPr>
              <w:pStyle w:val="Normal1"/>
              <w:keepNext w:val="false"/>
              <w:keepLines w:val="false"/>
              <w:widowControl w:val="false"/>
              <w:pBdr/>
              <w:shd w:val="clear" w:fill="auto"/>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 da Resolução 35/2007 do CNJ.</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 adquirente for casado ou conviver em regime de união estável e tiver pactuado regime de bens diverso do legal, deve constar no título os dados do regime de bens e do registro, no Livro 3/RA, da convenção antenupcial ou de união estável. Nessa hipótese, devemos realizar uma averbação autônoma, após o registro do título, para publicizar o registro da convenção no Livro 3/RA.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244 da LRP e artigos 707 e 729 do CN/CG-Extra.</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7</w:t>
            </w:r>
          </w:p>
        </w:tc>
        <w:tc>
          <w:tcPr>
            <w:tcW w:w="8174"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singl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single"/>
                <w:shd w:fill="auto" w:val="clear"/>
                <w:vertAlign w:val="baseline"/>
              </w:rPr>
              <w:t>Consta na escr</w:t>
            </w:r>
            <w:r>
              <w:rPr>
                <w:rFonts w:eastAsia="Times New Roman" w:cs="Times New Roman" w:ascii="Times New Roman" w:hAnsi="Times New Roman"/>
                <w:b/>
                <w:sz w:val="20"/>
                <w:szCs w:val="20"/>
                <w:u w:val="single"/>
              </w:rPr>
              <w:t xml:space="preserve">itura </w:t>
            </w:r>
            <w:r>
              <w:rPr>
                <w:rFonts w:eastAsia="Times New Roman" w:cs="Times New Roman" w:ascii="Times New Roman" w:hAnsi="Times New Roman"/>
                <w:b/>
                <w:i w:val="false"/>
                <w:caps w:val="false"/>
                <w:smallCaps w:val="false"/>
                <w:strike w:val="false"/>
                <w:dstrike w:val="false"/>
                <w:color w:val="000000"/>
                <w:position w:val="0"/>
                <w:sz w:val="20"/>
                <w:sz w:val="20"/>
                <w:szCs w:val="20"/>
                <w:u w:val="single"/>
                <w:shd w:fill="auto" w:val="clear"/>
                <w:vertAlign w:val="baseline"/>
              </w:rPr>
              <w:t>a nomeação de inventariante?</w:t>
            </w:r>
          </w:p>
          <w:p>
            <w:pPr>
              <w:pStyle w:val="Normal1"/>
              <w:keepNext w:val="false"/>
              <w:keepLines w:val="false"/>
              <w:widowControl w:val="false"/>
              <w:pBdr/>
              <w:shd w:val="clear" w:fill="auto"/>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inventariante será nomeado para representar o espólio, no cumprimento de obrigações ativas e passivas pendentes.</w:t>
            </w:r>
          </w:p>
          <w:p>
            <w:pPr>
              <w:pStyle w:val="Normal1"/>
              <w:keepNext w:val="false"/>
              <w:keepLines w:val="false"/>
              <w:widowControl w:val="false"/>
              <w:pBdr/>
              <w:shd w:val="clear" w:fill="auto"/>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11 da Resolução 35/2007 do CNJ.</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8</w:t>
            </w:r>
          </w:p>
        </w:tc>
        <w:tc>
          <w:tcPr>
            <w:tcW w:w="8174"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singl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single"/>
                <w:shd w:fill="auto" w:val="clear"/>
                <w:vertAlign w:val="baseline"/>
              </w:rPr>
              <w:t>Consta na escritura a nomeação de advogado assistente?</w:t>
            </w:r>
          </w:p>
          <w:p>
            <w:pPr>
              <w:pStyle w:val="Normal1"/>
              <w:keepNext w:val="false"/>
              <w:keepLines w:val="false"/>
              <w:widowControl w:val="false"/>
              <w:pBdr/>
              <w:shd w:val="clear" w:fill="auto"/>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0"/>
                <w:sz w:val="20"/>
                <w:szCs w:val="20"/>
                <w:u w:val="none"/>
                <w:shd w:fill="auto" w:val="clear"/>
                <w:vertAlign w:val="baseline"/>
              </w:rPr>
              <w:t>- O advogado assistente pode ser procurador de uma das partes favorecidas.</w:t>
            </w:r>
          </w:p>
          <w:p>
            <w:pPr>
              <w:pStyle w:val="Normal1"/>
              <w:keepNext w:val="false"/>
              <w:keepLines w:val="false"/>
              <w:widowControl w:val="false"/>
              <w:pBdr/>
              <w:shd w:val="clear" w:fill="auto"/>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0"/>
                <w:sz w:val="20"/>
                <w:szCs w:val="20"/>
                <w:u w:val="none"/>
                <w:shd w:fill="auto" w:val="clear"/>
                <w:vertAlign w:val="baseline"/>
              </w:rPr>
              <w:t>- Um dos herdeiros pode ser o advogado assistente na escritura.</w:t>
            </w:r>
          </w:p>
          <w:p>
            <w:pPr>
              <w:pStyle w:val="Normal1"/>
              <w:keepNext w:val="false"/>
              <w:keepLines w:val="false"/>
              <w:widowControl w:val="false"/>
              <w:pBdr/>
              <w:shd w:val="clear" w:fill="auto"/>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Deve constar na escritura, no mínimo, o nome completo e o número da OAB do advogado assistente.</w:t>
            </w:r>
          </w:p>
          <w:p>
            <w:pPr>
              <w:pStyle w:val="Normal1"/>
              <w:keepNext w:val="false"/>
              <w:keepLines w:val="false"/>
              <w:widowControl w:val="false"/>
              <w:pBdr/>
              <w:shd w:val="clear" w:fill="auto"/>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8º da Resolução 35/2007 do CNJ.</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9</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qualificação dos imóveis?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os imóveis tenham matrículas próprias, pode ser consignado no título somente a localização completa e o número da matrícula, não havendo necessidade da transcrição completa da descrição.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2º, parágrafo 1º, da Lei 7.433/1985 e artigo 222 da LRP.</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não houver edificação no terreno, é necessário constar o nome do logradouro, a expressão “s/nº”, se o imóvel fica no lado par ou ímpar do logradouro e a indicação: (a) da distância da esquina ou edificação mais próxima; ou (b) da numeração predial de imóvel confrontante, complementando, ainda, se este fica do lado direito ou esquerdo.</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176, parágrafo 1º, inciso II, item 3, alíneas “a” e “b” e 225 da LRP.</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conste no título indícios da existência de parcelamento de solo clandestino, devemos encaminhar Ofício para o Ministério Público, com cópia da documentação apresentada.</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1.038 do CNCGFE/SC.</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Quando a descrição da matrícula for omissa em relação às medidas perimetrais e/ou área total, é recomendável a realização do procedimento de retificação de área, previsto nos artigos 212 e 213 da LRP. Todavia, quando não houver dúvida sobre a identificação do imóvel e o mesmo for alienado ou onerado integralmente, fica facultado ao interessado requerer que seja realizada a inscrição do título sem a especialização do imóvel, ficando ciente de que a retificação de área será exigida caso seja necessário inscrever algum ato em que a conferência dos elementos de qualificação do imóvel seja imprescindível, como por exemplo: atingimento do sistema viário, unificação, parcelamento do solo, incorporação imobiliária, instituição de condomínio, etc. </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Decisão proferida em 05/02/2018 no Processo SAE 11278-LAUNSO, pelo Juiz - Diretor do Foro da Comarca da Capital/SC.</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 objeto do título for um terreno e foram prometidas em pagamento unidades autônomas ainda não incorporadas ou instituídas, devemos solicitar a apresentação: (a) dos documentos relativos ao registro da incorporação ou da instituição, em protocolo separado, para registro concomitante; ou (b) de requerimento de cindibilidade, para que o registro seja realizado somente sobre o terreno, ficando o registro da promessa das unidades autônomas para um momento posterior.</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artigos 13, 169, 172, 195, 217, 227, 236 e 237 da LRP, artigo 32 da Lei 4.591/1964 e artigo 1.332 do CC.  </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1</w:t>
            </w:r>
            <w:r>
              <w:rPr>
                <w:rFonts w:eastAsia="Times New Roman" w:cs="Times New Roman" w:ascii="Times New Roman" w:hAnsi="Times New Roman"/>
                <w:sz w:val="20"/>
                <w:szCs w:val="20"/>
              </w:rPr>
              <w:t>0</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Os imóveis são urbanos?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seja rural, devem constar na matrícula a averbação com: (a) os dados do Certificado de Cadastro do Imóvel Rural (CCIR); (b) os dados da inscrição no Cadastro Ambiental Rural – CAR; e (c) as coordenadas georreferenciadas, certificada pelo INCRA, nos casos de imóveis com área igual ou superior a 250.000,00m². Caso não constem, devem ser apresentados os documentos competentes para a averbação.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Deve constar no título ou ser apresentada a Certidão Negativa de Débitos Relativos ao Imposto sobre a Propriedade Territorial Rural (CND-ITR) ou a declaração de dispensa dos adquirentes.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seja rural e o objeto da transferência seja parte do imóvel da matrícula, devemos observar os requisitos para parcelamento do solo.</w:t>
            </w:r>
          </w:p>
          <w:p>
            <w:pPr>
              <w:pStyle w:val="Normal1"/>
              <w:widowControl w:val="fals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seja rural e esteja sendo adquirido por pessoa estrangeira, física ou jurídica, devemos observar os requisitos da Lei 5.709/1971.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conste na matrícula a informação de que o imóvel é rural, mas o imóvel não tenha tal destinação, deve ser apresentado, em protocolo separado, ofício de cancelamento do cadastro expedido pelo INCRA.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inciso II, item 3, alínea “a”, da LRP, artigos 12, 18 e 19 da Lei 12.651/2012, artigo 685, inciso XII e parágrafo 3º, do CNCGJ/SC, artigos 4º, inciso I, e 65 da Lei 4.504/1964, artigo 15 do Decreto-Lei 57/1966, artigo 21 da Lei 9.393/1996, artigo 677-A do CNCGJ/SC e artigo 8º da Lei 5.868/1972.</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trate-se de imóvel cadastrado como área de marinha deve constar no título ou ser apresentada a Certidão de Autorização de Transferência (CAT), com menção ao número do Registro Imobiliário Patrimonial (RIP).</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1º e 2º do Decreto-Lei 9.760/1946, artigos 1º e 2º da Lei 9.636/1998 e artigos 3º e 3º-A do Decreto-Lei 2.398/1987.</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No caso de imóveis de marinha sob o regime de ocupação, com títulos lavrados entre particulares até 10/06/2014, não devemos exigir a apresentação da CAT.</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7º, parágrafo 7º da Lei 9.636/1998 e artigo 8º, parágrafo 4º da Instrução Normativa 01/2018 da Secretaria do Patrimônio da União (SPU). </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1</w:t>
            </w:r>
            <w:r>
              <w:rPr>
                <w:rFonts w:eastAsia="Times New Roman" w:cs="Times New Roman" w:ascii="Times New Roman" w:hAnsi="Times New Roman"/>
                <w:sz w:val="20"/>
                <w:szCs w:val="20"/>
              </w:rPr>
              <w:t>1</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Deve ser efetuada alguma inscrição referente ao imóvel (inscrição imobiliária, logradouro, construção, desmembramento, incorporação imobiliária, unificação, CAR, etc.)?</w:t>
            </w:r>
          </w:p>
          <w:p>
            <w:pPr>
              <w:pStyle w:val="Normal1"/>
              <w:widowControl w:val="false"/>
              <w:spacing w:lineRule="auto" w:line="240" w:before="0" w:after="0"/>
              <w:jc w:val="both"/>
              <w:rPr>
                <w:rFonts w:ascii="Times New Roman" w:hAnsi="Times New Roman" w:eastAsia="Times New Roman" w:cs="Times New Roman"/>
                <w:sz w:val="20"/>
                <w:szCs w:val="20"/>
                <w:u w:val="single"/>
              </w:rPr>
            </w:pPr>
            <w:r>
              <w:rPr>
                <w:rFonts w:eastAsia="Times New Roman" w:cs="Times New Roman" w:ascii="Times New Roman" w:hAnsi="Times New Roman"/>
                <w:sz w:val="20"/>
                <w:szCs w:val="20"/>
              </w:rPr>
              <w:t>- Algumas averbações, como a inscrição imobiliária e o logradouro, podem ser realizadas com base no próprio título, desde que os dados necessários constem expressamente no mesmo. No entanto, os demais atos devem ser realizados por meio de protocolo apartado, no qual devem ser apresentados o requerimento e os documentos competentes.</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176, parágrafo 1º, inciso II, item 3, alíneas “a” e “b”, 212, 213 e 225, todos da LRP.</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complementação de dados de especialidade objetiva ausentes ou insuficientes, ou sua modificação, será objeto de ato único, ainda que faça referência a vários elementos, excetuadas a averbação de retificação de área e as hipóteses de títulos diversos, que devem ter prenotações distintas.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701, parágrafo 2º,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Devemos verificar se o título ou a matrícula contêm elementos que indiquem a existência de uma edificação ainda não averbada. Este procedimento é necessário, uma vez que a averbação da edificação é um requisito indispensável para registro do título. Se a edificação em questão não possuir </w:t>
            </w:r>
            <w:r>
              <w:rPr>
                <w:rFonts w:eastAsia="Times New Roman" w:cs="Times New Roman" w:ascii="Times New Roman" w:hAnsi="Times New Roman"/>
                <w:i/>
                <w:sz w:val="20"/>
                <w:szCs w:val="20"/>
              </w:rPr>
              <w:t>habite-se</w:t>
            </w:r>
            <w:r>
              <w:rPr>
                <w:rFonts w:eastAsia="Times New Roman" w:cs="Times New Roman" w:ascii="Times New Roman" w:hAnsi="Times New Roman"/>
                <w:sz w:val="20"/>
                <w:szCs w:val="20"/>
              </w:rPr>
              <w:t xml:space="preserve"> ou, mesmo que possua, sua averbação não for possível devido à dependência de outro procedimento, como usucapião, unificação, desmembramento, etc., um dos outorgados no negócio jurídico pode declarar tal circunstância e requerer a cindibilidade do título. Mediante o pedido de cindibilidade, devemos proceder ao registro do título e à averbação para informar sobre a necessidade de regularização da situação da edificação. </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798 do CNCGFE/SC. </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12</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na escritura os valores individualizados dos imóveis?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valores declarados devem constar individualizadamente para cada imóvel, mesmo em se tratando de unidades autônomas de condomínios edilícios (ex: apartamento, vaga de garagem e hobby-box).</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inciso III, item 5 da LRP e artigo 802, inciso IX do CNCGJ/SC.</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13</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Os valores declarados pelas partes, para o negócio jurídico e/ou para fins de lançamento fiscal, apresentam dissonância com o valor de mercado do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Quando o valor declarado atingir o teto dos emolumentos, não devemos realizar nenhuma providência, mas quando não atingir, podemos utilizar como parâmetros, para encontrar o valor de mercado, os valores das transações anteriores constantes da mesma matrícula, atualizados monetariamente, os valores de transações atuais constantes nas matrículas de unidades similares, no mesmo empreendimento, </w:t>
            </w:r>
            <w:r>
              <w:rPr>
                <w:rFonts w:eastAsia="Times New Roman" w:cs="Times New Roman" w:ascii="Times New Roman" w:hAnsi="Times New Roman"/>
                <w:i/>
                <w:sz w:val="20"/>
                <w:szCs w:val="20"/>
              </w:rPr>
              <w:t>sites</w:t>
            </w:r>
            <w:r>
              <w:rPr>
                <w:rFonts w:eastAsia="Times New Roman" w:cs="Times New Roman" w:ascii="Times New Roman" w:hAnsi="Times New Roman"/>
                <w:sz w:val="20"/>
                <w:szCs w:val="20"/>
              </w:rPr>
              <w:t xml:space="preserve"> de compra e venda de imóveis ou de imobiliárias, tabela FIPE, valor de avaliação fiscal, entre outros.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Encontrado valor de mercado acima do valor declarado, devemos solicitar declaração de valor de mercado, indicando qual o parâmetro utilizado para impugnação, bem como a complementação dos custos de registro.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O valor de mercado servirá, exclusivamente, como base de cálculo dos emolumentos, FRJ e ISS, não sendo necessária a complementação de outros tributos incidentes sobre o ato. </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320 do CNCGFE/SC e artigo 6º, parágrafo 3º,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necessária a apresentação de declaração apartada, esta poderá ser assinada por qualquer um dos outorgados. Caso seja assinada manuscritamente deve conter o reconhecimento de firma e caso seja assinada digitalmente, serão admitidas assinaturas eletrônicas qualificadas, com uso de certificado emitido com os requisitos da Infraestrutura de Chaves Públicas Brasileira (ICP-Brasil), ou avançadas, por meio do “Portal Gov.br”.</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221, inciso II, da Lei 6.015/1973 e artigo 762 do CNCGFE/SC. </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14</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na escritura a declaração dos herdeiros sobre a existência de testamento ou de outros herdeiros?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21 da Resolução 35/2007 do CNJ.</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inventário pode ser realizado por escritura pública, mesmo quando existente testamento, desde que o testamento esteja revogado, caduco, invalidado por decisão judicial transitada em julgado ou quando o testamento tenha sido aberto e registrado na via judicial.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814-A do CNCGJ/SC.</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1</w:t>
            </w:r>
            <w:r>
              <w:rPr>
                <w:rFonts w:eastAsia="Times New Roman" w:cs="Times New Roman" w:ascii="Times New Roman" w:hAnsi="Times New Roman"/>
                <w:sz w:val="20"/>
                <w:szCs w:val="20"/>
              </w:rPr>
              <w:t>5</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Sobre os imóveis incide algum ônus ou ação judicial?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conste algum ônus ou ação não impeditivo de transferência da propriedade (ex: hipoteca e penhora comuns, servidão, etc.), os adquirentes devem declarar ciência.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1º da LRP e artigo 1º da Lei 8.935/1994.</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conste o registro de alienação fiduciária, com dívida não quitada, o objeto da partilha deve ser somente o direito real de aquisição (artigo 1.368-B do Código Civil - CC).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Por tratar-se de partilha </w:t>
            </w:r>
            <w:r>
              <w:rPr>
                <w:rFonts w:eastAsia="Times New Roman" w:cs="Times New Roman" w:ascii="Times New Roman" w:hAnsi="Times New Roman"/>
                <w:i/>
                <w:sz w:val="20"/>
                <w:szCs w:val="20"/>
              </w:rPr>
              <w:t>causa mortis</w:t>
            </w:r>
            <w:r>
              <w:rPr>
                <w:rFonts w:eastAsia="Times New Roman" w:cs="Times New Roman" w:ascii="Times New Roman" w:hAnsi="Times New Roman"/>
                <w:sz w:val="20"/>
                <w:szCs w:val="20"/>
              </w:rPr>
              <w:t>, não há necessidade de anuência do credor fiduciário.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conste outro ônus ou ação impeditivo de transmissão da propriedade (ex: hipoteca cedular, hipoteca em favor do SFH, penhora da União Federal ou de suas autarquias e fundações, promessa de alienação em favor de terceiro, indisponibilidade, etc.), o interessado pode promover o cancelamento do gravame ou apresentar uma autorização do instituidor, quando possível.</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22 da Lei 9.514/1997 e artigo 1.368-B do CC(alienação fiduciária); artigo 59 do Decreto-Lei 167/1967, artigo 51 do Decreto-Lei 413/1969, artigo 3º da Lei 6.313/1975, artigo 5º da Lei 6.840/1980 e artigos 30 e 34, parágrafo 2º da Lei 10.931/2004 (hipotecas cedulares); artigo 1º, parágrafo único da Lei 8.004/1990 e artigo 292 da LRP (hipoteca do SFH); artigo 53, parágrafo 1º da Lei 8.212/1991 (penhora da União e suas autarquias e fundações); artigos 1.417 e 1.418 do CC (promessa de compra e venda); e Provimento 39/2014 do CNJ (indisponibilidade). </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16</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A transferência é relativa à propriedade plena ou à nua-propriedade?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 título tiver como objeto apenas a transferência da nua-propriedade, com a reserva de usufruto ao transmitente, devemos realizar dois atos de registro com valor declarado.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No primeiro ato deve ser registrada a transferência da nua-propriedade e no segundo ato deve ser registrada a reserva do usufruto.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É possível, ainda, que na escritura contenha a transferência da nua-propriedade e a instituição do usufruto para um terceiro. Nessa hipótese, também, devem ser realizados dois registros com valor declarado.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835 e 876 do CNCGFE/SC.</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1</w:t>
            </w:r>
            <w:r>
              <w:rPr>
                <w:rFonts w:eastAsia="Times New Roman" w:cs="Times New Roman" w:ascii="Times New Roman" w:hAnsi="Times New Roman"/>
                <w:sz w:val="20"/>
                <w:szCs w:val="20"/>
              </w:rPr>
              <w:t>7</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apresentação das certidões de ônus reais e de ações reais e pessoais reipersecutórias incidentes sobre 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É possível, ainda, que o título seja lavrado apenas com a apresentação da certidão de inteiro teor da matrícula, mas deverá constar no título certificação quanto à existência ou inexistência de ônus reais e de ações reais e pessoais reipersecutórias. </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não conste no título a apresentação das certidões de ônus e ações ou da certidão de inteiro teor acompanhada da certificação, o título poderá ser retificado para consigná-las ou poderão ser apresentadas apartadas.</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certidão da situação jurídica atualizada do imóvel não substitui as certidões mencionadas acima.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1º, parágrafo 2º, da Lei 7.433/1985, artigo 1º, inciso IV, do Decreto 93.240/1986 e artigo 770 do CNCGFE/SC. </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1</w:t>
            </w:r>
            <w:r>
              <w:rPr>
                <w:rFonts w:eastAsia="Times New Roman" w:cs="Times New Roman" w:ascii="Times New Roman" w:hAnsi="Times New Roman"/>
                <w:sz w:val="20"/>
                <w:szCs w:val="20"/>
              </w:rPr>
              <w:t>8</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apresentação das certidões de débitos municipais relativas aos imóveis ou a declaração de dispensa pelos adquirentes?</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u w:val="single"/>
              </w:rPr>
            </w:pPr>
            <w:r>
              <w:rPr>
                <w:rFonts w:eastAsia="Times New Roman" w:cs="Times New Roman" w:ascii="Times New Roman" w:hAnsi="Times New Roman"/>
                <w:sz w:val="20"/>
                <w:szCs w:val="20"/>
              </w:rPr>
              <w:t>- Caso não conste, o título poderá ser retificado para consigná-la ou poderá ser apresentada em documento apartado.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1º, parágrafo 2º, da Lei 7.433/1985 e artigo 1º, inciso III, alínea “a”, do Decreto 93.240/1986.</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19</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position w:val="0"/>
                <w:sz w:val="20"/>
                <w:sz w:val="20"/>
                <w:szCs w:val="20"/>
                <w:u w:val="single"/>
                <w:vertAlign w:val="baseline"/>
              </w:rPr>
            </w:pPr>
            <w:r>
              <w:rPr>
                <w:rFonts w:eastAsia="Times New Roman" w:cs="Times New Roman" w:ascii="Times New Roman" w:hAnsi="Times New Roman"/>
                <w:b/>
                <w:sz w:val="20"/>
                <w:szCs w:val="20"/>
                <w:u w:val="single"/>
              </w:rPr>
              <w:t>Consta na escritura</w:t>
            </w:r>
            <w:r>
              <w:rPr>
                <w:rFonts w:eastAsia="Times New Roman" w:cs="Times New Roman" w:ascii="Times New Roman" w:hAnsi="Times New Roman"/>
                <w:b/>
                <w:position w:val="0"/>
                <w:sz w:val="20"/>
                <w:sz w:val="20"/>
                <w:szCs w:val="20"/>
                <w:u w:val="single"/>
                <w:vertAlign w:val="baseline"/>
              </w:rPr>
              <w:t xml:space="preserve"> alguma cessão</w:t>
            </w:r>
            <w:r>
              <w:rPr>
                <w:rFonts w:eastAsia="Times New Roman" w:cs="Times New Roman" w:ascii="Times New Roman" w:hAnsi="Times New Roman"/>
                <w:b/>
                <w:sz w:val="20"/>
                <w:szCs w:val="20"/>
                <w:u w:val="single"/>
              </w:rPr>
              <w:t xml:space="preserve"> </w:t>
            </w:r>
            <w:r>
              <w:rPr>
                <w:rFonts w:eastAsia="Times New Roman" w:cs="Times New Roman" w:ascii="Times New Roman" w:hAnsi="Times New Roman"/>
                <w:b/>
                <w:position w:val="0"/>
                <w:sz w:val="20"/>
                <w:sz w:val="20"/>
                <w:szCs w:val="20"/>
                <w:u w:val="single"/>
                <w:vertAlign w:val="baseline"/>
              </w:rPr>
              <w:t>ou renúncia de direitos?</w:t>
            </w:r>
          </w:p>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 xml:space="preserve">- Se houver, a cessão </w:t>
            </w:r>
            <w:r>
              <w:rPr>
                <w:rFonts w:eastAsia="Times New Roman" w:cs="Times New Roman" w:ascii="Times New Roman" w:hAnsi="Times New Roman"/>
                <w:sz w:val="20"/>
                <w:szCs w:val="20"/>
              </w:rPr>
              <w:t>e/ou a renúncia devem constar antes do item do pagamento dos quinhões.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cessão de direitos, onerosa ou gratuita, realizada após o item de pagamento dos quinhões não é passível de registro. Devemos formular uma nota de exigência, para que o tabelião, se for o caso, retifique a escritura para tratar como compra e venda ou doação e efetue o pagamento dos custos complementares para os atos registrais.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 da Resolução 35/2007 do CNJ e artigos 167, 169 e 172 da LRP.</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20</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na escritura o recolhimento do Imposto de Transmissão Causa Mortis e Doação (ITCMD)?</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Além do ITCMD “</w:t>
            </w:r>
            <w:r>
              <w:rPr>
                <w:rFonts w:eastAsia="Times New Roman" w:cs="Times New Roman" w:ascii="Times New Roman" w:hAnsi="Times New Roman"/>
                <w:i/>
                <w:sz w:val="20"/>
                <w:szCs w:val="20"/>
              </w:rPr>
              <w:t>causa mortis</w:t>
            </w:r>
            <w:r>
              <w:rPr>
                <w:rFonts w:eastAsia="Times New Roman" w:cs="Times New Roman" w:ascii="Times New Roman" w:hAnsi="Times New Roman"/>
                <w:sz w:val="20"/>
                <w:szCs w:val="20"/>
              </w:rPr>
              <w:t>”, quando houver cessão de direitos, devemos conferir se na escritura consta o recolhimento do respectivo imposto.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houver cessão de direitos gratuita incidirá o ITCMD e quando a cessão for onerosa incidirá o Imposto sobre a Transmissão Onerosa de Bens Imóveis por Ato Inter Vivos (ITBI).</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ITCMD tenha sido parcelado, o registro poderá ser realizado somente após a comprovação da quitação integral do parcelamento.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812 do CNCGFE/SC, artigos 283, inciso III, e 287 do Código Tributário do Município de Florianópolis/SC, artigos 2º, 3º, 7º, 12, parágrafo único, 12-A da Lei 13.136/2004, artigo 134, inciso VI, do Código Tributário Nacional, artigo 289 da LRP e artigo 30, inciso XI, da Lei 8.935/1994.</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2</w:t>
            </w:r>
            <w:r>
              <w:rPr>
                <w:rFonts w:eastAsia="Times New Roman" w:cs="Times New Roman" w:ascii="Times New Roman" w:hAnsi="Times New Roman"/>
                <w:sz w:val="20"/>
                <w:szCs w:val="20"/>
              </w:rPr>
              <w:t>1</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 xml:space="preserve">Os custos foram recolhidos corretamente?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14 da LRP e artigo 4º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custos serão formados pelos emolumentos, acrescidos dos valores relativos ao Fundo do Reaparelhamento da Justiça - FRJ, ao Imposto Sobre Serviços - ISS e à taxa de cartão, se houver.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12, parágrafo 4º, da Lei Complementar 755/2019 e artigo 22 da Lei Complementar 807/2022.</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emolumentos serão de: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Averbação (sem valor) - Óbito</w:t>
            </w:r>
            <w:r>
              <w:rPr>
                <w:rFonts w:eastAsia="Times New Roman" w:cs="Times New Roman" w:ascii="Times New Roman" w:hAnsi="Times New Roman"/>
                <w:sz w:val="20"/>
                <w:szCs w:val="20"/>
              </w:rPr>
              <w:t>:</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82 e item 3.1 da Tabela III da Lei Complementar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Registro (com valor) - Partilha</w:t>
            </w:r>
            <w:r>
              <w:rPr>
                <w:rFonts w:eastAsia="Times New Roman" w:cs="Times New Roman" w:ascii="Times New Roman" w:hAnsi="Times New Roman"/>
                <w:sz w:val="20"/>
                <w:szCs w:val="20"/>
              </w:rPr>
              <w:t>: Serão devidos os emolumentos correspondentes aos valores constantes no item 2.2 da Tabela III da Lei Complementar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Base de Cálculo</w:t>
            </w:r>
            <w:r>
              <w:rPr>
                <w:rFonts w:eastAsia="Times New Roman" w:cs="Times New Roman" w:ascii="Times New Roman" w:hAnsi="Times New Roman"/>
                <w:sz w:val="20"/>
                <w:szCs w:val="20"/>
              </w:rPr>
              <w:t>: Quando houver apenas atribuição de meação ao cônjuge ou companheiro supérstite e partilha entre os herdeiros, os emolumentos incidirão apenas sobre o valor individual de cada imóvel transferido, excluída a meação. Entretanto, quando houver partilha não igualitária, pagamento de meação com bens exclusivos ou imóveis localizados em mais de uma circunscrição imobiliária sem atribuição de meação em cada bem de forma individualizada, os emolumentos incidirão sobre o valor integral de cada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68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Para apuração da base de cálculo deve ser considerado o maior valor entre o valor declarado para o imóvel, o valor venal atribuído para fins de cobrança do imposto de transmissão e o valor real ou de mercado.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6º da Lei Complementar 755/2019 c/c artigo 320 do CNCGJ/SC.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Unidades “Acessórias”</w:t>
            </w:r>
            <w:r>
              <w:rPr>
                <w:rFonts w:eastAsia="Times New Roman" w:cs="Times New Roman" w:ascii="Times New Roman" w:hAnsi="Times New Roman"/>
                <w:sz w:val="20"/>
                <w:szCs w:val="20"/>
              </w:rPr>
              <w:t>: Nos registros de negócio jurídico, com as mesmas partes e que envolvam unidades autônomas principais (apartamento, sala, loja, etc.) e unidades autônomas “acessórias” (vaga, hobby-box, etc.) devem ser cobrados emolumentos integrais pelo imóvel de maior valor e 2/3 (redução de 1/3) dos emolumentos previstos na tabela para as unidades autônomas “acessórias”.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66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Cancelamento de Protocolo</w:t>
            </w:r>
            <w:r>
              <w:rPr>
                <w:rFonts w:eastAsia="Times New Roman" w:cs="Times New Roman" w:ascii="Times New Roman" w:hAnsi="Times New Roman"/>
                <w:sz w:val="20"/>
                <w:szCs w:val="20"/>
              </w:rPr>
              <w:t>: Ocorrendo o cancelamento do protocolo depois da qualificação registral, a requerimento do interessado ou em razão do simples decurso do prazo de prenotação (artigo 205 da LRP), sem o cumprimento das exigências formuladas, serão devidos os emolumentos relativos ao cancelamento de protocolo.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item 8 da Tabela III da Lei Complementar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FRJ incidirá à razão de 22,73% sobre o valor dos emolumentos.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3º-A da Lei 8.067/1990.</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ISS incidirá à razão de 5% sobre o valor dos emolumentos.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36 da Lei Municipal 3003/2011.</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haja divergência na cotação, devemos alterar os emolumentos no sistema, na aba “custas” e no campo “serviços cadastrados”, e no protocolo impresso, manuscritamente.</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2</w:t>
            </w:r>
            <w:r>
              <w:rPr>
                <w:rFonts w:eastAsia="Times New Roman" w:cs="Times New Roman" w:ascii="Times New Roman" w:hAnsi="Times New Roman"/>
                <w:sz w:val="20"/>
                <w:szCs w:val="20"/>
              </w:rPr>
              <w:t>2</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título foi qualificado positivamente?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Antes da inscrição, devemos cadastrar o ato para a emissão da Declaração sobre Operações Imobiliárias (DOI).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2º da Instrução Normativa RFB 1.112/2010.</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imóvel seja de marinha, devemos cadastrar o ato, também, para a emissão da Declaração sobre Operações Imobiliárias de Terrenos da União (DOITU).</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3º-A do Decreto-Lei 2.398/1987 e artigo 2º da Portaria SPU/ME 24.218/2020.</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24</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título foi qualificado negativamente?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conferência dos documentos deve ser exaustiva e a nota de exigência formulada com a exposição clara e objetiva dos fundamentos da recusa.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protocolo deve ser “qualificado negativamente” no sistema e encaminhado para a digitalização.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Após o cumprimento das exigências, com base em novas informações e/ou novos documentos, poderá ser formulada nova nota de exigência.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198 da LRP e artigo 189 do CNCGFE/SC.</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bl>
    <w:p>
      <w:pPr>
        <w:pStyle w:val="Normal1"/>
        <w:pageBreakBefore w:val="false"/>
        <w:spacing w:lineRule="auto" w:line="240" w:before="0" w:after="0"/>
        <w:jc w:val="both"/>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b/>
          <w:sz w:val="20"/>
          <w:szCs w:val="20"/>
        </w:rPr>
        <w:t>Declaro que preenchi o presente roteiro de conferência após analisar o(s) documento(s) apresentado(s) e a(s) matrícula(s) prenotada(s), responsabilizando-me pelas informações inseridas.</w:t>
      </w:r>
    </w:p>
    <w:p>
      <w:pPr>
        <w:pStyle w:val="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1"/>
        <w:spacing w:lineRule="auto" w:line="240" w:before="0" w:after="0"/>
        <w:jc w:val="both"/>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Conferência inicial</w:t>
      </w:r>
      <w:r>
        <w:rPr>
          <w:rFonts w:eastAsia="Times New Roman" w:cs="Times New Roman" w:ascii="Times New Roman" w:hAnsi="Times New Roman"/>
          <w:sz w:val="20"/>
          <w:szCs w:val="20"/>
        </w:rPr>
        <w:t>: Data: ____/____/_____. Nome: _____________________. Assinatura: ____________________</w:t>
      </w:r>
    </w:p>
    <w:sectPr>
      <w:type w:val="nextPage"/>
      <w:pgSz w:w="11906" w:h="16838"/>
      <w:pgMar w:left="1134" w:right="1134" w:gutter="0" w:header="0" w:top="567" w:footer="0" w:bottom="709"/>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s>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style w:type="paragraph" w:styleId="Normal">
    <w:name w:val="Normal"/>
    <w:qFormat/>
    <w:pPr>
      <w:widowControl w:val="false"/>
      <w:bidi w:val="0"/>
      <w:spacing w:lineRule="auto" w:line="240" w:before="0" w:after="200"/>
      <w:jc w:val="center"/>
    </w:pPr>
    <w:rPr>
      <w:rFonts w:ascii="Calibri" w:hAnsi="Calibri" w:eastAsia="Calibri" w:cs="Calibri"/>
      <w:color w:val="auto"/>
      <w:kern w:val="0"/>
      <w:sz w:val="22"/>
      <w:szCs w:val="22"/>
      <w:lang w:val="pt-BR" w:eastAsia="zh-CN" w:bidi="hi-IN"/>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Normal1" w:default="1">
    <w:name w:val="LO-normal"/>
    <w:qFormat/>
    <w:pPr>
      <w:widowControl w:val="false"/>
      <w:bidi w:val="0"/>
      <w:spacing w:lineRule="auto" w:line="240" w:before="0" w:after="200"/>
      <w:jc w:val="center"/>
    </w:pPr>
    <w:rPr>
      <w:rFonts w:ascii="Calibri" w:hAnsi="Calibri" w:eastAsia="Calibri" w:cs="Calibri"/>
      <w:color w:val="auto"/>
      <w:kern w:val="0"/>
      <w:sz w:val="22"/>
      <w:szCs w:val="22"/>
      <w:lang w:val="pt-BR" w:eastAsia="zh-CN" w:bidi="hi-IN"/>
    </w:rPr>
  </w:style>
  <w:style w:type="paragraph" w:styleId="Ttulododocumento">
    <w:name w:val="Title"/>
    <w:basedOn w:val="Normal1"/>
    <w:next w:val="Normal1"/>
    <w:qFormat/>
    <w:pPr>
      <w:keepNext w:val="true"/>
      <w:keepLines/>
      <w:pageBreakBefore w:val="false"/>
      <w:spacing w:lineRule="auto" w:line="240" w:before="480" w:after="120"/>
    </w:pPr>
    <w:rPr>
      <w:b/>
      <w:sz w:val="72"/>
      <w:szCs w:val="72"/>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LibreOffice/7.4.2.3$Windows_X86_64 LibreOffice_project/382eef1f22670f7f4118c8c2dd222ec7ad009daf</Application>
  <AppVersion>15.0000</AppVersion>
  <Pages>5</Pages>
  <Words>3579</Words>
  <Characters>19422</Characters>
  <CharactersWithSpaces>22851</CharactersWithSpaces>
  <Paragraphs>171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2024-04-26T16:16:50Z</dcterms:modified>
  <cp:revision>1</cp:revision>
  <dc:subject/>
  <dc:title/>
</cp:coreProperties>
</file>