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___________________________  MATRÍCULA(S):___________________________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LOCAÇÃO - CONTRATO PARTICULAR</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11029" w:type="dxa"/>
        <w:jc w:val="left"/>
        <w:tblInd w:w="-108" w:type="dxa"/>
        <w:tblLayout w:type="fixed"/>
        <w:tblCellMar>
          <w:top w:w="0" w:type="dxa"/>
          <w:left w:w="108" w:type="dxa"/>
          <w:bottom w:w="0" w:type="dxa"/>
          <w:right w:w="108" w:type="dxa"/>
        </w:tblCellMar>
        <w:tblLook w:val="0000"/>
      </w:tblPr>
      <w:tblGrid>
        <w:gridCol w:w="548"/>
        <w:gridCol w:w="9265"/>
        <w:gridCol w:w="602"/>
        <w:gridCol w:w="613"/>
      </w:tblGrid>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sz w:val="20"/>
                <w:szCs w:val="20"/>
              </w:rPr>
              <w:t>Sim</w:t>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sz w:val="20"/>
                <w:szCs w:val="20"/>
              </w:rPr>
              <w:t>Não</w:t>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requerimento?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interessado deve indicar no requerimento o ato a ser realizado (cláusula de vigência, direito de preferência e/ou caução locatícia) e o número da matrícula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13, inciso II, artigo 167, inciso I, item 3 e inciso II, item 16 e artigo 222 da LRP e artigos 8º, 27, 33, 37 e 38 da Lei 8.245/1991.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assinado manuscritamente, deve conter o reconhecimento de firma.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a autenticidade dos reconhecimentos de firma por meio de consulta ao selo de fiscalização.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Código de Normas da Corregedoria-Geral do Foro Extrajudicial do Tribunal de Justiça do Estado de Santa Catarina - CNCGFE/SC.</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físico, deve ser apresentado na via original, assinado pelas partes, com o respectivo reconhecimento de firma.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194 e 221, inciso II da LRP.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10, parágrafo 2º, da Medida Provisória 2.200-2/2001, artigo 292, parágrafo 5º, e artigos 312 e 323 do CNN/CN/CNJ-Extra e artigo 12 do Provimento 89/2019 do CNJ.</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contratantes?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os atos de averbação do direito de preferência e/ou registro da cláusula de vigência, basta que um dos proprietários do imóvel figure como locador. Nessas hipóteses, podem constar no contrato somente elementos mínimos de qualificação das partes, como nome/denominação e número do CPF/CNPJ.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167, parágrafo único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Mesmo que a locação tenha sido instrumentalizada antes da transferência do imóvel, se o locador não figurar como proprietário na matrícula, não é possível a inscrição do direito de preferência ou da cláusula de vigência.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167, parágrafo único, c/c artigos 195 e 237 da LRP, artigos 8º e 33 da Lei 8.245/1991, Acórdão exarado na Apelação Cível nº 023198-0/0, julgado em 11/05/1995, pelo Conselho Superior da Magistratura do Tribunal de Justiça do Estado de São Paulo e Decisão proferida no Processo 35.487/2014, em 04/04/2014, pela Corregedoria-Geral da Justiça do Estado de São Paulo.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os atos de averbação da caução locatícia, é necessária a qualificação completa e a participação de todos os proprietários do imóvel objeto da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1º e 176, parágrafo 1º, inciso III, item 2, alíneas “a” e “b” da LRP e artigo 476 do Código de Normas da Corregedoria-Geral da Justiça do Estado de Santa Catarina - CNCGJ/SC.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caução locatícia, quando o credor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em que o prazo da locação seja superior a 10 anos, mesmo que não haja constituição da caução como garantia, todos os proprietários, inclusive os cônjuges, devem participar do contrato.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 da Lei 8.245/1991.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apresentado o contrato de sublocação, visando a inscrição do direito de preferência e/ou da cláusula de vigência, é necessário que o locador figure no contrato como anuente, mas não será obrigatória a inscrição do respectivo direito com base no contrato de locação.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8º, 13, 14, 30 e 33 da Lei 8.245/1991.</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 alguma das partes for pessoa jurídica, representada no ato por seus administradores, foram apresentados os documentos hábeis a atestar seus poderes?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requerida a inscrição da caução locatícia, devemos conferir os poderes de administração da outorgante por meio da última alteração contratual consolidada e da certidão simplificada expedida pela Junta Comercial, no caso das sociedades empresárias.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Os poderes de administração das sociedades despersonificadas serão comprovados por meio de certidões específicas expedidas pelo Ofício de Registro Civil de Pessoas Jurídicas.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basta identificar os administradores das pessoas jurídicas, é necessário conferir quais são os poderes e quais administradores devem assinar 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verificar se os referidos documentos já estão arquivados na pasta do servidor de arquivos.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Todavia, em relação aos atos de inscrição do direito de preferência e da cláusula de vigência, assim como, relativo ao outorgado na caução locatícia, a comprovação pode ser realizada somente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Sócios e Administradores (QSA) da Receita Federal. Nesta hipótese, havendo mais de um administrador, bastará a assinatura de qualquer um deles.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799, 814 e 815 do CNCGFE/SC.</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alguma parte seja representada por procurador, foi apresentada a procuração?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deve conferir poderes específicos para o ato a ser realizado e a identificação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661, parágrafo 1º,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pode ser apresentada em instrumento público ou particular,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procuração seja particular, deve conter o reconhecimento de firma do outorgante, exceto quando outorgada para advogado, hipótese em que o reconhecimento será dispensável.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pelo interessado.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públicas lavradas em outros Estados da Federação, devemos realizar o procedimento de confirmação de autenticidade e eficácia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procuração for pública e o procurador investido por meio de substabelecimento, deve ser apresentada toda a cadeia de procurações para conferência da autenticidade e, se for o caso, da eficácia.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355, parágrafo 1º,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1.018 do CC.</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Nos casos de averbação da caução locatícia, se os proprietários do imóvel objeto da garantia forem pessoas físicas não casadas (solteiro, separado, divorciado ou viúvo), consta no contrato ou em declaração apartada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ser declarada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no contrato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no contrato outorgante da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o contrato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Corregedoria-Geral de Justiça de Santa Catarina - CGJ/SC e artigo 1.647, inciso II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declararam conviver em união estável e essa informação não constar na matrícula do imóvel (aquisição anterior), é necessário averbar a união estável antes da averbação da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no contrato os outorgantes declararam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Nos casos de averbação da caução locatícia, se os proprietários do imóvel objeto da garantia forem pessoas físicas, foram apresentadas as certidões de nascimento ou de casamento?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deve ser atualizada, emitida até 90 dias antes da data de assinatura do contrato.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pode ser apresentada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297, 706, § 3º, 794 e 815 do CN/GJ-Extra.</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Nos casos de averbação de caução locatícia, deve ser efetuada alguma averbação referente à qualificação dos proprietários do imóvel objeto da garantia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necessário, devem ser apresentados o requerimento e o documento hábil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10</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717 do CNCGJ/SC.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objeto da locação ou da garantia for a integralidade do imóvel, mas a descrição na matrícula for omissa em relação às medidas perimetrais e/ou área total, é recomendável a realização do procedimento de retificação de área, prevista nos artigos 212 e 213 da LRP. Todavia, quando não houver dúvida sobre a identificação do imóvel e o mesmo for alienado/onerado integralmente, fica facultado ao interessado requer que seja realizada a inscrição do título sem a especialização do imóvel, mas ficando ciente de que a retificação de área será exigida posteriormente, caso seja necessário inscrever algum ato em que a conferência dos elementos de qualificação do imóvel seja imprescindível, como por exemplo: construção, unificação, parcelamento do solo, incorporação e instituição de condomínio, etc.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Decisão proferida em 05/02/2018 no Processo SAE 11278-LAUNSO, pelo Juiz - Diretor do Foro da Comarca da Capital/SC.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da locação for parte específica do terreno, deve constar no contrato a descrição da área locada, assim como, deve ser apresentada uma planta ou um croqui com as demarcações da área total da matrícula e da área locada. Nessa hipótese, caso a descrição do imóvel na matrícula seja omissa em relação às medidas perimetrais e/ou área total, será necessária a realização do procedimento de retificação de área.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212 e 213 da LRP e Acórdão exarado na Apelação Cível nº 752-6/3, julgado em 29/11/2007, pelo Conselho Superior da Magistratura do Tribunal de Justiça do Estado de São Paulo.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da locação ou da caução for uma edificação não averbada na matrícula, devemos informar ao interessado por meio de nota de exigência e recomendar a averbação da construção, caso a mesma tenha “habite-se”, emitido pela Prefeitura Municipal. Caso a edificação não tenha “habite-se”, o interessado pode apresentar um requerimento de cindibilidade, para que seja inscrito o direito decorrente do contrato de locação, sem a necessidade de regularização da edificação, mas ciente de que será realizada uma averbação na matrícula para consignar a necessidade de regularização da situação da edificação.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692-B do CNCGJ/SC.</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11</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Nos casos de averbação de caução locatícia, deve ser efetuada alguma averbação referente ao imóvel (inscrição imobiliária, construção, logradouro,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seja necessário, devem ser apresentados em protocolo separado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798 do CNCGFE/SC.</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12</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contrato qual a garantia da locação?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 o locador exigir como garantia da locação as seguintes garantias: caução, fiança, seguro de fiança locatícia e cessão fiduciária de quotas de fundo de investimento. Todavia, é vedada, sob pena de nulidade, mais de uma das modalidades de garantia num mesmo contrato.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37 da Lei 8.245/1991.</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 imóvel objeto da locação e/ou da garantia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se tratar de pedidos para averbação do direito de preferência ou registro da cláusula de vigência, a existência de ônus ou ação judicial na matrícula não obstará a realização do 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na matrícula constar o registro de alienação fiduciária e a locação for pactuada por prazo superior a um ano sem concordância expressa do fiduciário, a locação, assim como eventual cláusula de vigência pactuada não terá eficácia contra o fiduciário ou seus sucessores. Nessa hipótese não é necessário exigir uma anuência expressa do fiduciário para a inscrição do ato.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37-B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se tratar de pedido para averbação da caução locatícia e sobre o imóvel objeto da garantia constar algum ônus ou ação não impeditivo para inscrição da garantia (ex: hipoteca e penhora comuns, servidão, etc.), o credor (locador) deve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se tratar de pedido para averbação da caução locatícia e sobre o imóvel objeto da garantia constar algum ônus ou ação impeditivo para inscrição da garantia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contrato o valor do aluguel?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do aluguel deve ser utilizado para se encontrar a base de cálculo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5 da LRP e artigos 72 e 77 da Lei Complementar 755/2019.</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Direito de Preferência e Caução Locatícia (averbação com valor)</w:t>
            </w:r>
            <w:r>
              <w:rPr>
                <w:rFonts w:eastAsia="Times New Roman" w:cs="Times New Roman" w:ascii="Times New Roman" w:hAnsi="Times New Roman"/>
                <w:sz w:val="20"/>
                <w:szCs w:val="20"/>
              </w:rPr>
              <w:t>: Serão devidos os emolumentos previstos no item 3.2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Cláusula de Vigência (registro com valor)</w:t>
            </w:r>
            <w:r>
              <w:rPr>
                <w:rFonts w:eastAsia="Times New Roman" w:cs="Times New Roman" w:ascii="Times New Roman" w:hAnsi="Times New Roman"/>
                <w:sz w:val="20"/>
                <w:szCs w:val="20"/>
              </w:rPr>
              <w:t>: Serão devidos os emolumentos previstos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corresponder ao valor de uma prestação anual (valor do aluguel mensal x 12) ou da duração do contrato, se inferior a 1 (um) ano.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artigos 72 e 77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casos de registro com valor (cláusula de vigência)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de averbação com valor declarado (direito de preferência e caução locatícia) não se aplica a redução prevista no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92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5</Pages>
  <Words>3446</Words>
  <Characters>18707</Characters>
  <CharactersWithSpaces>22021</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2024-04-26T16:06:02Z</dcterms:modified>
  <cp:revision>1</cp:revision>
  <dc:subject/>
  <dc:title/>
</cp:coreProperties>
</file>