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ÓBITO</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tbl>
      <w:tblPr>
        <w:tblStyle w:val="Table1"/>
        <w:tblW w:w="10350" w:type="dxa"/>
        <w:jc w:val="left"/>
        <w:tblInd w:w="63" w:type="dxa"/>
        <w:tblLayout w:type="fixed"/>
        <w:tblCellMar>
          <w:top w:w="0" w:type="dxa"/>
          <w:left w:w="108" w:type="dxa"/>
          <w:bottom w:w="0" w:type="dxa"/>
          <w:right w:w="108" w:type="dxa"/>
        </w:tblCellMar>
        <w:tblLook w:val="0000"/>
      </w:tblPr>
      <w:tblGrid>
        <w:gridCol w:w="344"/>
        <w:gridCol w:w="8760"/>
        <w:gridCol w:w="645"/>
        <w:gridCol w:w="600"/>
      </w:tblGrid>
      <w:tr>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rHeight w:val="520" w:hRule="atLeast"/>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requerimento?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requerimento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requerimento para averbação do óbito?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requerimento deve indicar as matrículas em que o ato deve ser realizado e deve ser assinado pelo requerente, mas não é necessário o reconhecimento de firma.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13, inciso II, e artigo 222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Código de Normas da Corregedoria-Geral do Foro Extrajudicial do Tribunal de Justiça do Estado de Santa Catarina -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de óbito?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deve ser apresentada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9º, inciso I do Código Civil - CC e artigo 658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registro da partilha, por meio do formal de partilha ou da escritura pública de inventário, pode ser realizado posteriormente. Não há obrigatoriedade da apresentação concomitante do título da partilha para averbação do óbito.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167, 169, 172, 182, 186, 188, 191, 195, 205, 217, 221, 237 e 289 da LRP.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w:t>
            </w:r>
            <w:r>
              <w:rPr>
                <w:rFonts w:eastAsia="Times New Roman" w:cs="Times New Roman" w:ascii="Times New Roman" w:hAnsi="Times New Roman"/>
                <w:sz w:val="20"/>
                <w:szCs w:val="20"/>
              </w:rPr>
              <w:t>:</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34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760"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left"/>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2</Pages>
  <Words>648</Words>
  <Characters>3620</Characters>
  <CharactersWithSpaces>4227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2024-04-26T16:02:34Z</dcterms:modified>
  <cp:revision>1</cp:revision>
  <dc:subject/>
  <dc:title/>
</cp:coreProperties>
</file>