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PENHOR MERCANTIL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1"/>
        <w:gridCol w:w="601"/>
        <w:gridCol w:w="613"/>
      </w:tblGrid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  <w:bookmarkStart w:id="0" w:name="gjdgxs"/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bookmarkEnd w:id="0"/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Foi apresentado o título de constituição do penhor mercantil?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 penhor mercantil p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ode ser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constituído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por instrumento público ou particular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- Caso seja constituído por meio de cédula de crédito, deverão ser observados os requisitos de conferência para a respectiva cédula.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físico, deve ser apresentado na via original, assinado pelas partes, com o respectivo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221, inciso II, da LRP.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Código de Normas da Corregedoria-Geral do Foro Extrajudicial do Tribunal de Justiça do Estado de Santa Catarina -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seja apresentada por escritura pública, foi conferida a procedência, autenticidade e eficácia da escritura apresentada?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 conferência pode ser realizada por meio do: (a) selo digital de fiscalização, quando o Tribunal de Justiça dispuser de plataforma que contenha informações suficientes para vinculação do ato; ou (b)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telefônica, pelos contatos disponíveis no cadastro da serventia no CNJ. 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490 e 645 do CNCGJ/SC.  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devedores e, se for o caso, dos terceiros garantidores?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das pessoas físicas são: nome, nacionalidade, estado civil, CPF e endereço.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de uma pessoa jurídica são: denominação social, CNPJ, sede e representantes.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Se os garantidores forem casados por um regime diverso do legal deve constar na escritura o registro do pacto antenupcial.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 da Lei 6.015/1973 e artigo 476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os garantidores forem pessoas físicas casadas, é necessária a autorização do outro cônjuge para alienar bens imóveis, salvo se for adotado o regime da separação de bens ou se, adotado o regime da participação final nos aquestos, houver estipulação expressa no pacto antenupcial sobre a livre disposição dos bens.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1.647, inciso I, 1.656 e 1.687 do Código Civil -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1665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na escritura a qualificação dos credores?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das pessoas físicas são: nome, nacionalidade, estado civil, CPF e endereço.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de uma pessoa jurídica são: denominação social, CNPJ e sede.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Se os credores forem casados por um regime diverso do legal, deve constar na escritura o registro do pacto antenupcial.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 da LRP e artigo 476 do CNCGJ/SC.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Se alguma das partes for pessoa jurídica, representada no ato por seu(s) administrador(es), foram apresentados os documentos hábeis a atestar seus poderes, na via original ou cópia autenticada?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poderes de administração das sociedades empresárias serão comprovados por meio da última alteração contratual consolidada e da certidão simplificada, ambas expedidas pela Junta Comercial.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Os poderes de administração das sociedades despersonificadas serão comprovados por meio de certidões específicas expedidas pelo Ofício de Registro Civil de Pessoas Jurídicas.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basta identificar os administradores das pessoas jurídicas, é necessário conferir quais são os poderes e quais administradores devem assinar o título.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Verificar se os referidos documentos já estão arquivados na pasta do servidor de arquivos.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483 do CNCGJ/SC.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alguma parte esteja representada por procurador, foi apresentada a procuração?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os seguintes requisitos?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valor do crédito, sua estimação, ou valor máximo;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prazo fixado para pagamento;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 taxa de juros, se houver; e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bem dado em garantia com suas especificações.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1.424 do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verificar se o objeto do penhor caracteriza a operação como penhor mercantil. Podem ser objeto de penhor máquinas, aparelhos, materiais, instrumentos, instalados e em funcionamento, com os acessórios ou sem eles; animais, utilizados na indústria; sal e bens destinados à exploração das salinas; produtos de suinocultura,animais destinados à industrialização de carnes e derivados; matérias-primas e produtos industrializados.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1.447 do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O registro do penhor é da competência deste Ofício Imob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iliário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- O registro deverá ser realizado no Ofício de Registro de Imóveis competente pela circunscrição das coisas empenhadas.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1.448 do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Lei 6.015/1973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Registro (com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Serão devidos os emolumentos constantes no item 2.6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75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base de cálculo será o valor do negócio jurídico, limitada ao valor do imóvel.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67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Lei 6.015/1973),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left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3</Pages>
  <Words>1533</Words>
  <Characters>8601</Characters>
  <CharactersWithSpaces>10053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2024-04-26T15:58:48Z</dcterms:modified>
  <cp:revision>1</cp:revision>
  <dc:subject/>
  <dc:title/>
</cp:coreProperties>
</file>