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PENHORA - A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RRESTO - SEQUESTRO</w:t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tbl>
      <w:tblPr>
        <w:tblStyle w:val="Table1"/>
        <w:tblW w:w="1070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8"/>
        <w:gridCol w:w="9051"/>
        <w:gridCol w:w="601"/>
        <w:gridCol w:w="613"/>
      </w:tblGrid>
      <w:tr>
        <w:trPr>
          <w:trHeight w:val="160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  <w:bookmarkStart w:id="0" w:name="gjdgxs"/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bookmarkEnd w:id="0"/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As constrições judiciais não são contraditórias ou excludentes entre si.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11, 12, 174, 182, 186 e 190 da Lei 6.015/1973 - Lei de Registros Públicos - LRP e artigo 667, parágrafo único, do Código de Normas da Corregedoria-Geral do Foro Extrajudicial do Tribunal de Justiça do Estado de Santa Catarina - CNCGFE/SC.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ofício ou mandado determinando a inscrição da penhora, arresto ou sequestro?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Podem ser apresentados, ainda: (a) a decisão judicial, desde que conste expressamente que a mesma vale como mandado ou ofício; ou (b) a certidão, o termo ou o auto expedidos no processo, acompanhado de requerimento do exequente, que deve conter a informação sobre qual direito real (nua-propriedade, usufruto, direito real de aquisição, etc.) deve recair a constrição.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título apresentado deve conter a identificação do Juízo, o número do processo, a natureza do processo, os nomes das partes e o valor da causa.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não conste o valor da causa, a parte pode apresentar a petição inicial ou outro documento extraído do processo onde conste o valor atualizado da causa ou da dívida.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Os documentos exarados do processo podem ser apresentados na via original ou em cópia autenticada.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239 da LRP e artigos 839, parágrafo 2º, 849, 851 e 852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apresentado requerimento assinado manuscritamente, deve conter o reconhecimento de firma.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221, inciso II,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apresentado requerimento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 ou do “Portal 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762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seja apresentado um requerimento, o interessado foi representado por procurador?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661, parágrafo 1º, do Código Civil - CC.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e-mail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355, parágrafo 1º,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1.018 do CC.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seja apresentado requerimento e o requerente seja pessoa jurídica, representado por um de seus administradores, foi apresentado o documento hábil a comprovar seu poder de administração?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comprovação pode ser realizada por meio de: (a) certidão simplificada expedida pela Junta 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Havendo mais de um administrador, bastará a assinatura de qualquer um deles.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documentos podem ser apresentados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Os executados/réus são detentores de direito real nas matrículas?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Para identificação das partes é necessário constar nos documentos apresentados, no mínimo, o nome completo e o CPF, para afastar o risco de homonímia.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os réus/executados não sejam detentores de direito real nas matrículas, devemos buscar no processo, quando digital, por documentos que esclareçam o motivo.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Nas ações de execução de taxas e de tributos sobre o imóvel (obrigações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propter rem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), por exemplo, é possível que o executado não seja detentor de direito real na matrícula (ex.: adquirentes sem registro), mas devemos conferir no processo, para certificar que não se trata apenas de erro de indicação da unidade.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Mesmo que não seja possível esclarecer o fato, devemos averbar a constrição e comunicar ao Juízo competente, cabendo a este, no âmbito de suas atribuições jurisdicionais, rever ou não a constrição, comunicando, se for o caso, este Ofício Imobiliário para as providências cabíveis.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Se for necessário requerer ao juízo que o interessado recolha os custos da inscrição da constrição, devemos comunicá-lo sobre eventual divergência na titularidade do imóvel.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854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averbação da constrição deverá ser realizada independentemente da verificação da intimação de terceiros interessados que a lei preveja devam participar da execução, como o cônjuge do executado, por se tratar de atribuição exclusivamente jurisdicional.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855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Sobre o imóvel incide algum ônus?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averbação da constrição deve ser realizada independentemente da aparente colisão a princípio registral, a fim de dar pronta publicidade ao ato judicial constituído.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a averbação, devemos comunicar ao Juízo competente, cabendo a este, no âmbito de suas atribuições jurisdicionais, rever ou não a constrição, comunicando, se for o caso, este Ofício Imobiliário para as providências cabíveis.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São exemplos de ônus que em tese deveriam impedir a constrição: (a) o usufruto; (b) o direito de aquisição, decorrente de contrato não registrado; (c) a hipoteca cedular; (d) a alienação fiduciária; (e) o patrimônio de afetação; (f) o bem de família; e (g) a indisponibilidade.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for necessário requerer ao juízo que o interessado recolha os custos da inscrição da constrição, devemos comunicá-lo sobre eventual existência de ônus sobre o imóvel.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854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da constrição a determinação da inalienabilidade do imóvel?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conste, devemos realizar a averbação da constrição e, em seguida, averbar a inalienabilidade.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857 do CNCGFE/SC.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LRP, artigo 4º da Lei Complementar 755/2019 e artigo 850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Registro (ato de averbação)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 penhora deve ser inscrita por ato de averbação, mas os emolumentos serão cobrados como registro.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Circular 46/2020 da Corregedoria-Geral de Justiça de Santa Catarina - 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Para averbação da penhora são devidos os emolumentos correspondentes a 1/3 do valor dos emolumentos constantes no item 2.2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 base de cálculo será o valor da causa ou o valor da dívida, devidamente atualizados, devendo ser observado o valor mínimo previsto no item 2.2 da Tabela III.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73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Na averbação da penhora deve constar o valor atualizado da dívida constante no processo, a data da atualização e em seguida deve conter, entre parênteses, o valor da dívida atualizado monetariamente para fins de cálculo dos emolumentos e, se for o caso, do FRJ.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Unidades Acessórias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 redução de 1/3 prevista no artigo 66 da Lei Complementar 755/2019 não deve ser aplicada nas inscrições de constrições judiciais.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Acórdão exarado na Consulta 0030371-10.2020.8.24.0710 do Conselho da Magistratura do TJ/SC.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Justiças Estadual e Federal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Quando a constrição for proveniente das Justiças Estaduais ou da Justiça Federal devemos solicitar o pagamento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Justiça do Trabalho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Quando a constrição for requerida pela parte interessada, devemos exigir o recolhimento dos custos para inscrição. Todavia, quando a ordem for enviada diretamente pelo Juízo Trabalhista, devemos inscrever o ato e informar por ofício que o recolhimento deverá ser realizado ao final do processo. Nesta hipótese de diferimento do pagamento, devemos utilizar a tabela de “custas específicas - ato sem cobrança” e no campo “tipo de desconto” selecionar “pagamento diferido”.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853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Gratuidade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Quando o interessado no ato for beneficiário da gratuidade da justiça, deve ser apresentado um documento extraído do processo que comprove o deferimento do benefício.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Artigos 346 e 850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gratuidade deferida na fase de conhecimento se estende à fase de cumprimento de sentença.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artigo 98, parágrafo 1º, inciso IX do Código de Processo Civil - CPC.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 constrição for determinada por Juízo criminal, em que o interessado seja o próprio Poder Público, o ato será isento.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7º, inciso I,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857 do CNCGFE/SC e artigo 82 e item 3.1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título seja qualificado negativamente e o interessado no ato seja beneficiário da justiça gratuita ou o título tenha sido protocolado diretamente pelo juízo, devemos inserir na aba “custas” a rubrica “cancelamento de protocolo” com o tipo de isenção “cancelamento sem valor”.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As exigências relacionadas ao título judicial,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protocolado pelo interessado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 cujo atendimento dependa de: (a) manifestação do juízo, serão a este submetidas, por meio de ofício, devendo, ainda, ser formulada uma nota de exigência comunicando o interessado sobre a consulta ao juízo; e (b) providência do interessado, serão a ele submetidas, por meio de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As exigências relacionadas ao título judicial,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protocolado diretamente pelo juízo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 cujo atendimento dependa de manifestação do juízo ou de providência do interessado, serão submetidas ao juízo, por meio de ofício.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Nas hipóteses em que seja enviado ofício ao juízo, devemos ressaltar que, decorrido 1 ano, contado do envio do ofício, sem o recebimento da resposta ou o cumprimento das exigências, o protocolo será cancelado.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artigos 189 e 837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left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3</Pages>
  <Words>2150</Words>
  <Characters>11910</Characters>
  <CharactersWithSpaces>13966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2024-04-26T15:57:10Z</dcterms:modified>
  <cp:revision>1</cp:revision>
  <dc:subject/>
  <dc:title/>
</cp:coreProperties>
</file>