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 xml:space="preserve">PERMUTA - </w:t>
      </w: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bl>
      <w:tblPr>
        <w:tblStyle w:val="Table1"/>
        <w:tblW w:w="9854" w:type="dxa"/>
        <w:jc w:val="left"/>
        <w:tblInd w:w="-108" w:type="dxa"/>
        <w:tblLayout w:type="fixed"/>
        <w:tblCellMar>
          <w:top w:w="0" w:type="dxa"/>
          <w:left w:w="108" w:type="dxa"/>
          <w:bottom w:w="0" w:type="dxa"/>
          <w:right w:w="108" w:type="dxa"/>
        </w:tblCellMar>
        <w:tblLook w:val="0000"/>
      </w:tblPr>
      <w:tblGrid>
        <w:gridCol w:w="459"/>
        <w:gridCol w:w="8174"/>
        <w:gridCol w:w="610"/>
        <w:gridCol w:w="610"/>
      </w:tblGrid>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escritura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762, 809 e 815 do Código de Normas da Corregedoria-Geral da Justiça do Estado de Santa Catarina -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308, 355, parágrafo 1º, e 809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qualificação dos transmitentes?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transmitentes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transmitentes forem pessoas físicas casadas, é necessária a autorização do outro cônjuge para alienar bens imóveis, salvo se for adotado o regime da separação de bens ou se, adotado o regime da participação final nos aquestos, houver estipulação expressa no pacto antenupcial sobre a livre disposição dos bens.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Código Civil - CC.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transmitentes sejam pessoas físicas não casadas (solteiro, separado, divorciado ou viúvo), consta na escritura a declaração de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união estável deve constar a qualificação completa do companheiro e o regime de bens que vigora na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quando negativa, deve constar expressamente na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pactuado regime de bens na união estável, vigora entre os companheiros o regime da comunhão parcial de bens, motivo pelo qual o companheiro deve figurar na escritura como interveniente anuente.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pactuado o regime da comunhão universal de bens na união estável, o companheiro deve figurar na escritura como transmitente.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pactuado o regime da separação de bens na união estável, o companheiro não precisa assinar a escritura como interveniente anuente. </w:t>
            </w:r>
          </w:p>
          <w:p>
            <w:pPr>
              <w:pStyle w:val="Normal1"/>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Provimento 6/2003 da Corregedoria-Geral de Justiça de Santa Catarina - CGJ/SC e artigo 1.647, inciso II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transmitentes declararem conviver em união estável e essa informação não constar na matrícula do imóvel (aquisição anterior), é necessário averbar a união estável antes do registro da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imóvel (aquisição anterior) constar a existência de união estável e na escritura os transmitentes declararem não conviver, é necessário averbar a dissolução da união estável.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transmitentes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na própria escritura,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688, parágrafo 6º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qualificação dos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e sede.</w:t>
            </w:r>
          </w:p>
          <w:p>
            <w:pPr>
              <w:pStyle w:val="Normal1"/>
              <w:keepNext w:val="false"/>
              <w:keepLines w:val="false"/>
              <w:widowControl w:val="false"/>
              <w:pBdr/>
              <w:shd w:val="clear" w:fill="auto"/>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adquirente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1.038 do CNCGFE/SC.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do título for um terreno e foram prometidas em pagamento unidades autônomas ainda não incorporadas ou instituídas, devemos solicitar a apresentação: (a) dos documentos relativos ao registro da incorporação ou da instituição, em protocolo separado, para registro concomitante; ou (b) de requerimento de cindibilidade, para que o registro seja realizado somente sobre o terreno, ficando o registro da promessa das unidades autônomas para um momento posterior.</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169, 172, 195, 217, 227, 236 e 237 da LRP, artigo 32 da Lei 4.591/1964 e artigo 1.332 do CC.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a primeira alienação ou oneração prenotada após o registro da incorporação, devemos observar se decorreu o prazo de 180 dias para concretização da incorporação. Considera-se concretizada a incorporação quando ocorrer uma das seguintes hipóteses: (a) formalização da alienação ou da oneração de alguma unidade futura, comprovada mediante a apresentação de instrumento de promessa de compra e venda ou da venda definitiva; (b) contratação de financiamento para a construção; ou (c) início das obras do empreendimento, a ser comprovada mediante declaração do incorporador.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for possível a comprovação, devemos realizar uma averbação na matrícula para constar a concretização da incorporação. Todavia, se o incorporador não puder comprovar, deverá apresentar requerimento e as certidões e documentos, quando estes estiverem com prazo de validade vencido, previstos no artigo 32 da Lei 4.591/1964, para averbação da revalidação do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33 da Lei 4.591/1964 e artigo 1.078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 constar no título ou ser apresentada a Certidão Negativa de Débitos Relativos ao Imposto sobre a Propriedade Territorial Rural (CND-ITR) ou a declaração de dispensa dos adquirentes.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e o objeto da transferência seja parte do imóvel da matrícula, devemos observar os requisitos para parcelamento do solo.</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e esteja sendo adquirido por pessoa estrangeira, física ou jurídica, devemos observar os requisitos da Lei 5.709/1971.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o imóvel não tenha tal destinação, deve ser apresentado, em protocolo separado,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trate-se de imóvel cadastrado como área de marinha deve constar no título ou ser apresentada a Certidão de Autorização de Transferência (CAT), com menção ao número do Registro Imobiliário Patrimonial (RIP).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Decreto-Lei 2.398/1987.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imóveis de marinha sob o regime de ocupação, com títulos lavrados entre particulares até 10/06/2014, não devemos exigir a apresentação da CAT.</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7º, parágrafo 7º da Lei 9.636/1998 e artigo 8º, parágrafo 4º da Instrução Normativa 01/2018 da Secretaria do Patrimônio da União (SPU).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0</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A transferência é relativa à propriedade plena ou à nua-propriedade?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título tiver como objeto apenas a transferência da nua-propriedade, com a reserva de usufruto ao transmitente, devemos realizar dois atos de registro com valor declarado.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primeiro ato deve ser registrada a transferência da nua-propriedade e no segundo ato deve ser registrada a reserva do usufruto.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ainda, que na escritura contenha a transferência da nua-propriedade e a instituição do usufruto para um terceiro. Nessa hipótese, também, devem ser realizados dois registros com valor declarado.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835 e 876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foram adquiridos ou transmitidos por um Fundo de Investimento Imobiliário (FII)?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 caso de aquisição pelo FII, deve constar no título de aquisição as restrições enumeradas nos incisos I a VI do artigo 7º da Lei nº 8.668/1993, assim como deve constar expressamente que o imóvel adquirido constitui patrimônio do FII.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registro da aquisição devemos averbar na matrícula do imóvel as restrições e o destaque acima referido (averbação com valor - base de cálculo: valor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transmissão pelo FII, o título é o documento hábil para cancelamento da averbação mencionada no parágrafo anterior (averbação sem valor).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7º, parágrafos 1º e 2º e artigo 9º da Lei 8.668/1993.</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Constam na escritura os valores individualizados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valores declarados devem constar individualizadamente para cada imóvel, mesmo em se tratando de unidades autônomas de condomínios edilícios (ex: apartamento, vaga de garagem e hobby-box).</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III, item 5 da LRP e artigo 802, inciso IX do CNCGJ/SC.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r>
              <w:rPr>
                <w:rFonts w:eastAsia="Times New Roman" w:cs="Times New Roman" w:ascii="Times New Roman" w:hAnsi="Times New Roman"/>
                <w:position w:val="0"/>
                <w:sz w:val="20"/>
                <w:sz w:val="20"/>
                <w:szCs w:val="20"/>
                <w:vertAlign w:val="baseline"/>
              </w:rPr>
              <w:t xml:space="preserve">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artigo 762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17</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débitos municipais relativas aos imóveis ou a declaração de dispensa pelos adquirentes?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não conste, o título poderá ser retificado para consigná-la ou poderá ser apresentada em documento apartado.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parágrafo 2º, da Lei 7.433/1985 e artigo 1º, inciso III, alínea “a”, do Decreto 93.240/1986.</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18</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imóveis sejam unidades autônomas, consta no título a apresentação da prova de quitação dos débitos condominiais ou a declaração de dispensa?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quitação pode ser comprovada mediante declaração do transmitente, do síndico ou da administradora do condomínio. Ademais, o adquirente pode dispensar a apresentação da comprovação de quitação ou da declaração do transmitente, assumindo eventual dívida existente.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na escritura, a mesma poderá ser retificada ou a comprovação da quitação ou a declaração de dispensa pode ser apresentada apartada.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necessária a prova de quitação nas transferências de unidades autônomas em fase de incorporação imobiliária.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único, da Lei 4.591/1964 e artigos 762 e 813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adquirentes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contiver registro de compromisso de permuta relativo à permuta apresentada, devemos averbar, após o registro, o cancelamento dos efeitos do registro do compromisso de permuta.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700 e 808, inciso I, do CN/CG-Extra.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Consta na escritura o recolhimento do Imposto sobre a Transmissão Onerosa de Bens Imóveis por Ato </w:t>
            </w:r>
            <w:r>
              <w:rPr>
                <w:rFonts w:eastAsia="Times New Roman" w:cs="Times New Roman" w:ascii="Times New Roman" w:hAnsi="Times New Roman"/>
                <w:b/>
                <w:i/>
                <w:sz w:val="20"/>
                <w:szCs w:val="20"/>
                <w:u w:val="single"/>
              </w:rPr>
              <w:t xml:space="preserve">Inter Vivos </w:t>
            </w:r>
            <w:r>
              <w:rPr>
                <w:rFonts w:eastAsia="Times New Roman" w:cs="Times New Roman" w:ascii="Times New Roman" w:hAnsi="Times New Roman"/>
                <w:b/>
                <w:sz w:val="20"/>
                <w:szCs w:val="20"/>
                <w:u w:val="single"/>
              </w:rPr>
              <w:t>(ITBI)?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 constar, ainda, os valores de avaliação para fins de ITBI relativos a cada imóvel. Caso os valores de avaliação para fins de ITBI sejam iguais aos declarados pelas partes para o negócio jurídico, pode constar na escritura apenas o valor total de avaliação.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505, 802, inciso I, e 803 do CNCGJ/SC, artigos 283, inciso III, e 287 do Código Tributário do Município de Florianópolis/SC, artigo 134, inciso VI do Código Tributário Nacional, artigo 289 da LRP e artigo 30, inciso XI da Lei 8.935/1994.</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ser o maior valor entre o valor declarado para o negócio, o valor venal atribuído para fins de cobrança do imposto de transmissão e o valor real ou de mercado.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6</Pages>
  <Words>4228</Words>
  <Characters>23239</Characters>
  <CharactersWithSpaces>27313</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2024-04-26T15:54:52Z</dcterms:modified>
  <cp:revision>1</cp:revision>
  <dc:subject/>
  <dc:title/>
</cp:coreProperties>
</file>