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LOnormal"/>
        <w:pageBreakBefore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drawing>
          <wp:inline distT="0" distB="0" distL="0" distR="0">
            <wp:extent cx="2755900" cy="866140"/>
            <wp:effectExtent l="0" t="0" r="0" b="0"/>
            <wp:docPr id="1" name="Picture 3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PROTOCOLO: ______________ MATRÍCULA(S): __________________________________________</w:t>
      </w:r>
    </w:p>
    <w:p>
      <w:pPr>
        <w:pStyle w:val="LOnormal"/>
        <w:pageBreakBefore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normal"/>
        <w:pageBreakBefore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SEPARAÇÃO - DIVÓRCIO - DISSOLUÇÃO DE UNIÃO ESTÁVEL</w:t>
      </w:r>
    </w:p>
    <w:p>
      <w:pPr>
        <w:pStyle w:val="LOnormal"/>
        <w:pageBreakBefore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</w:r>
    </w:p>
    <w:p>
      <w:pPr>
        <w:pStyle w:val="LOnormal"/>
        <w:pageBreakBefore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PARTILHA JUDICIAL</w:t>
      </w:r>
    </w:p>
    <w:p>
      <w:pPr>
        <w:pStyle w:val="LOnormal"/>
        <w:pageBreakBefore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u w:val="single"/>
        </w:rPr>
      </w:pPr>
      <w:r>
        <w:rPr>
          <w:rFonts w:eastAsia="Times New Roman" w:cs="Times New Roman" w:ascii="Times New Roman" w:hAnsi="Times New Roman"/>
          <w:sz w:val="20"/>
          <w:szCs w:val="20"/>
          <w:u w:val="single"/>
        </w:rPr>
      </w:r>
    </w:p>
    <w:tbl>
      <w:tblPr>
        <w:tblStyle w:val="Table1"/>
        <w:tblW w:w="10350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3"/>
        <w:gridCol w:w="8601"/>
        <w:gridCol w:w="645"/>
        <w:gridCol w:w="600"/>
      </w:tblGrid>
      <w:tr>
        <w:trPr/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Sim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Não</w:t>
            </w:r>
          </w:p>
        </w:tc>
      </w:tr>
      <w:tr>
        <w:trPr>
          <w:trHeight w:val="52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outra prenotação vinculada às matrículas objetos do presente título?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entre as matrículas constantes no título e as matrículas prenotadas no sistema, devemos corrigir a prenotação e anotar a correção manuscritamente no protocolo.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apresentado o título hábil para inscrição?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Podem ser apresentados: (a) carta de sentença judicial; (b) carta de sentença extrajudicial; (c) mandado de registro; ou (d) decisão judicial, desde que conste expressamente que a mesma vale como mandado e esteja acompanhada da certificação do trânsito em julgado.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Devemos conferir se, além dos documentos mencionados nos itens de conferência abaixo, foram apresentados todos os documentos relacionados como parte integrante do título.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o título seja digital, devemos conferir a autenticidade no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site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do respectivo Tribunal.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faltar algum documento e o processo for digital, o interessado pode fornecer a chave de acesso aos autos, para a extração dos documentos necessários.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221, inciso IV, da LRP e artigos 839 e 844 do Código de Normas da Corregedoria-Geral do Foro Extrajudicial do Tribunal de Justiça do Estado de Santa Catarina -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no título a qualificação dos transmitentes e adquirentes?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elementos mínimos para qualificação das pessoas físicas são: nome, nacionalidade, estado civil, CPF e endereço e para as pessoas jurídicas: denominação social, CNPJ, sede e representantes.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176, parágrafo 1º, inciso III, item 2, alíneas “a” e “b” da LRP e artigo 706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Deve ser efetuada alguma averbação referente à qualificação dos transmitentes e adquirentes (retificação de dados de qualificação, separação, divórcio, novo casamento, etc.)?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averbação de separação, divórcio ou dissolução de união estável deve ser realizada por meio do próprio protocolo do título, mas nos casos de separação e divórcio, deve ser apresentada a certidão de casamento com a respectiva averbação, na via original ou em cópia autenticada.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9º, 10 e 1.543 do Código Civil - CC e artigos  473, 814 e 815 do CNCGFE/SC.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averbação de retificação pode ser realizada com base no próprio título, quando os dados necessários constarem expressamente.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As demais averbações devem ser realizadas por meio de protocolo separado, instruído com requerimento e os documentos competentes.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167, inciso II e 176, parágrafo 1º, inciso II, item 4, inciso III, item 2 e 213, inciso I, alínea “g”, da LRP e artigo 713 do CNCGFE/SC.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complementação de dados de especialidade subjetiva ausentes ou insuficientes, ou sua modificação, será objeto de ato único por pessoa ou casal, ainda que faça referência a vários elementos, excetuadas as hipóteses de títulos diversos, que devem ter prenotações distintas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706, parágrafo 6º, 713, parágrafos 8º e 9º,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no título a qualificação dos imóveis?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os imóveis tenham matrículas próprias, pode ser consignado no título somente a localização completa e o número da matrícula, não havendo necessidade da transcrição completa da descrição.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2º, parágrafo 1º, da Lei 7.433/1985 e artigo 222 da LRP.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não houver edificação no terreno, é necessário constar o nome do logradouro, a expressão “s/nº”, se o imóvel fica no lado par ou ímpar do logradouro e a indicação: (a) da distância da esquina ou edificação mais próxima; ou (b) da numeração predial de imóvel confrontante, complementando, ainda, se este fica do lado direito ou esquerdo.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176, parágrafo 1º, inciso II, item 3, alíneas “a” e “b”, e 225 da LRP.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Quando a descrição da matrícula for omissa em relação às medidas perimetrais e/ou área total, é recomendável a realização do procedimento de retificação de área, previsto nos artigos 212 e 213 da LRP. Todavia, quando não houver dúvida sobre a identificação do imóvel e o mesmo for alienado ou onerado integralmente, fica facultado ao interessado requerer que seja realizada a inscrição do título sem a especialização do imóvel, ficando ciente de que a retificação de área será exigida caso seja necessário inscrever algum ato em que a conferência dos elementos de qualificação do imóvel seja imprescindível, como por exemplo: atingimento do sistema viário, unificação, parcelamento do solo, incorporação imobiliária, instituição de condomínio, etc. 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Decisão proferida em 05/02/2018 no Processo SAE 11278-LAUNSO, pelo Juiz - Diretor do Foro da Comarca da Capital/SC. 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conste no título indícios da existência de parcelamento de solo clandestino, devemos encaminhar Ofício para o Ministério Público, com cópia da documentação apresentada.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1.038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48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Os imóveis são urbanos?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rural, devem constar na matrícula a averbação com: (a) os dados do Certificado de Cadastro do Imóvel Rural (CCIR); (b) os dados da inscrição no Cadastro Ambiental Rural – CAR; e (c) as coordenadas georreferenciadas, certificada pelo INCRA, nos casos de imóveis com área igual ou superior a 250.000,00m². Caso não constem, devem ser apresentados os documentos competentes para a averbação.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Deve constar no título ou ser apresentada a Certidão Negativa de Débitos Relativos ao Imposto sobre a Propriedade Territorial Rural (CND-ITR) ou a declaração de dispensa dos adquirentes. 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rural e o objeto da transferência seja parte do imóvel da matrícula, devemos observar os requisitos para parcelamento do solo.</w:t>
            </w:r>
          </w:p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seja rural e esteja sendo adquirido por pessoa estrangeira, física ou jurídica, devemos observar os requisitos da Lei 5.709/1971. 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conste na matrícula a informação de que o imóvel é rural, mas o imóvel não tenha tal destinação, deve ser apresentado, em protocolo separado, ofício de cancelamento do cadastro expedido pelo INCRA.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176, inciso II, item 3, alínea “a”, da LRP, artigos 12, 18 e 19 da Lei 12.651/2012, artigo 685, inciso XII e parágrafo 3º, do CNCGJ/SC, artigos 4º, inciso I, e 65 da Lei 4.504/1964, artigo 15 do Decreto-Lei 57/1966, artigo 21 da Lei 9.393/1996, artigo 677-A do CNCGJ/SC e artigo 8º da Lei 5.868/1972.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trate-se de imóvel cadastrado como área de marinha deve constar no título ou ser apresentada a Certidão de Autorização de Transferência (CAT), com menção ao número do Registro Imobiliário Patrimonial (RIP).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1º e 2º do Decreto-Lei 9.760/1946, artigos 1º e 2º da Lei 9.636/1998 e artigos 3º e 3º-A do Decreto-Lei 2.398/1987.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No caso de imóveis de marinha sob o regime de ocupação, com títulos lavrados entre particulares até 10/06/2014, não devemos exigir a apresentação da CAT.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7º, parágrafo 7º da Lei 9.636/1998 e artigo 8º, parágrafo 4º da Instrução Normativa 01/2018 da Secretaria do Patrimônio da União (SPU).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48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Deve ser efetuada alguma inscrição referente ao imóvel (inscrição imobiliária, logradouro, construção, desmembramento, incorporação imobiliária, unificação, CAR, etc.)?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necessário, devem ser apresentados em protocolo separado o requerimento e os documentos competentes.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176, parágrafo 1º, inciso II, item 3, alíneas “a” e “b”, 212, 213 e 225, todos da LRP.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complementação de dados de especialidade objetiva ausentes ou insuficientes, ou sua modificação, será objeto de ato único, ainda que faça referência a vários elementos, excetuadas a averbação de retificação de área e as hipóteses de títulos diversos, que devem ter prenotações distintas.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701, parágrafo 2º, do CNCGFE/SC.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Devemos verificar se o título ou a matrícula contêm elementos que indiquem a existência de uma edificação ainda não averbada. Este procedimento é necessário, uma vez que a averbação da edificação é um requisito indispensável para registro do título. Se a edificação em questão não possuir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habite-se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ou, mesmo que possua, sua averbação não for possível devido à dependência de outro procedimento, como usucapião, unificação, desmembramento, etc., um dos outorgados no negócio jurídico pode declarar tal circunstância e requerer a cindibilidade do título. Mediante o pedido de cindibilidade, devemos proceder ao registro do título e à averbação para informar sobre a necessidade de regularização da situação da edificação. 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798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963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no título os valores individualizados dos imóveis?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valores declarados devem constar individualizadamente para cada imóvel, mesmo quando tratar-se de unidades autônomas de condomínios edilícios (ex: apartamento, vaga de garagem e hobby-box).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176, inciso III, item 5 da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963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Os valores declarados pelas partes, para o negócio jurídico e/ou para fins de lançamento fiscal, apresentam dissonância com o valor de mercado do imóvel?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Quando o valor declarado atingir o teto dos emolumentos, não devemos realizar nenhuma providência, mas quando não atingir, podemos utilizar como parâmetros, para encontrar o valor de mercado, os valores das transações anteriores constantes da mesma matrícula, atualizados monetariamente, os valores de transações atuais constantes nas matrículas de unidades similares, no mesmo empreendimento,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sites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de compra e venda de imóveis ou de imobiliárias, tabela FIPE, valor de avaliação fiscal, entre outros. 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Encontrado valor de mercado acima do valor declarado, devemos solicitar declaração de valor de mercado, indicando qual o parâmetro utilizado para impugnação, bem como a complementação dos custos de registro.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O valor de mercado servirá, exclusivamente, como base de cálculo dos emolumentos, FRJ e ISS, não sendo necessária a complementação de outros tributos incidentes sobre o ato. 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320 do CNCGFE/SC e artigo 6º, parágrafo 3º, da Lei Complementar 755/2019.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necessária a apresentação de declaração apartada, esta poderá ser assinada por qualquer um dos outorgados. Caso seja assinada manuscritamente deve conter o reconhecimento de firma e caso seja assinada digitalmente, serão admitidas assinaturas eletrônicas qualificadas, com uso de certificado emitido com os requisitos da Infraestrutura de Chaves Públicas Brasileira (ICP-Brasil), ou avançadas, por meio do “Portal Gov.br”.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221, inciso II, da Lei 6.015/1973 e artigo 762 do CNCGFE/SC.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48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Caso os imóveis sejam unidades autônomas, consta no título a apresentação da prova de quitação dos débitos condominiais ou a declaração de dispensa?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quitação pode ser comprovada mediante declaração do transmitente, do síndico ou da administradora do condomínio. Ademais, o adquirente pode dispensar a apresentação da comprovação de quitação ou da declaração do transmitente, assumindo eventual dívida existente.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não conste no título, o mesmo poderá ser retificado ou a comprovação da quitação ou a declaração de dispensa pode ser apresentada apartada.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a quitação seja apartada e declarada: (a) pelo síndico, deve ser apresentada a ata de assembleia em que este foi eleito; e (b) pela administradora do condomínio, deve ser apresentada a ata de assembleia em que esta foi eleita, assim como os documentos societários da administradora para conferência da representação. 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a declaração seja física, assinada manuscritamente, deve conter o reconhecimento de firma. Caso seja digital, serão admitidas assinaturas eletrônicas qualificadas, com uso de certificado emitido com os requisitos da Infraestrutura de Chaves Públicas Brasileira (ICP-Brasil), ou avançadas, por meio do “Portal Gov.br”.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Não é necessária a prova de quitação nas transferências de unidades autônomas em fase de incorporação imobiliária.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4º, parágrafo único, da Lei 4.591/1964 e artigos 762 e 813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63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no título a apresentação das certidões de débitos municipais relativas aos imóveis ou a declaração de dispensa pelos adquirentes?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não conste, o título poderá ser retificado para consigná-la ou poderá ser apresentada em documento apartado.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1º, parágrafo 2º, da Lei 7.433/1985 e artigo 1º, inciso III, alínea “a”, do Decreto 93.240/1986.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63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no título a apresentação da certidão negativa de débitos federais relativa ao outorgante?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regularidade fiscal perante a Fazenda Nacional será comprovada por meio da certidão negativa expedida conjuntamente pela Receita Federal e pela Procuradoria-Geral da Fazenda Nacional, referente a todos os créditos tributários federais e à dívida ativa da União.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É possível a dispensa da certidão, mediante declaração do: (a) outorgante, quando for pessoa física que não exerce qualquer atividade que o equipare à pessoa jurídica, não estando, portanto, sujeito às contribuições sociais; e (b) outorgante, acompanhada dos documentos societários para comprovação do objeto social, quando a empresa outorgante explorar, exclusivamente, atividades de compra e venda, locação, desmembramento, loteamento, incorporação imobiliária ou construção de imóveis destinados à venda, contanto que os imóveis objetos da transação estejam contabilmente lançados no seu ativo circulante e não tenham constado, em seu ativo permanente.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não conste a apresentação da certidão ou da declaração de dispensa, o título poderá ser retificado para consigná-la ou poderá ser apresentada em documento apartado. Na hipótese de apresentação apartada da declaração mencionada no item b, deverão ser apresentados, também, os documentos societários para comprovação do objeto social.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47, inciso I, alínea “b” da Lei 8.212/1991, artigo 680, parágrafo único, do CN/CG-Extra e artigos 1º e 17 da Portaria Conjunta RFB-PGFN 1.751/2014.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a declaração seja física e apresentada apartada, deve conter o reconhecimento de firma e quando tratar-se de documento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-Notariado” ou do “Portal Gov.br”.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17, parágrafos 1º e 2º, da LRP, artigo 4º, incisos II e III, c/c artigo 5º, parágrafo 2º, inciso IV, da Lei 14.063/2020 e artigo 762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Sobre os imóveis incide algum ônus ou ação judicial?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conste algum ônus ou ação não impeditivo de alienação (ex: hipoteca e penhora comuns, servidão, etc.) e os imóveis sejam transferidos aos filhos dos ex-cônjuges ou companheiros, os adquirentes devem declarar ciência.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1º da LRP e artigo 1º da Lei 8.935/1994.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conste algum ônus ou ação impeditivo de alienação (ex: hipoteca cedular, hipoteca em favor do SFH, penhora da União Federal ou de suas autarquias e fundações, promessa de alienação em favor de terceiro, indisponibilidade, etc.), o interessado pode promover o cancelamento do gravame ou apresentar uma autorização do instituidor, quando possível.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59 do Decreto-Lei 167/1967, artigo 51 do Decreto-Lei 413/1969, artigo 3º da Lei 6.313/1975, artigo 5º da Lei 6.840/1980 e artigos 30 e 34, parágrafo 2º da Lei 10.931/2004 (hipotecas cedulares); artigo 1º, parágrafo único da Lei 8.004/1990 e artigo 292 da LRP (hipoteca do SFH); artigo 53, parágrafo 1º da Lei 8.212/1991 (penhora da União e suas autarquias e fundações); artigos 1.417 e 1.418 do CC (promessa de compra e venda); e Provimento 39/2014 do CNJ (indisponibilidade). 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exista uma alienação fiduciária registrada sobre a matrícula, é suficiente a apresentação de uma autorização de transferência de direitos assinada pelo credor fiduciário. Entretanto, se for apresentado um contrato de cessão da posição do fiduciante, torna-se imprescindível a análise do documento para verificar se houve alterações nas condições do financiamento e quais atos devem ser realizados na matrícula.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Independentemente da apresentação de uma autorização de transferência ou do contrato de cessão, devemos realizar os seguintes atos na matrícula: (a) registrar a partilha, tendo como base de cálculo o valor do imóvel; e (b) averbar a sub-rogação dos direitos contratuais, tendo como base de cálculo o valor atualizado da dívida.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No caso em que a cessão de direitos não corresponda ao estipulado no instrumento de partilha, é obrigatória a inscrição de ambos os atos.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Nas situações de partilhas igualitárias, onde cada parte recebe 50% do imóvel, não se faz necessária a apresentação de autorização do credor.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22 da Lei 9.514/1997, artigo 1.368-B do CC e artigo 883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A transferência é relativa à propriedade plena ou à nua-propriedade?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o título tiver como objeto apenas a transferência da nua-propriedade, com a reserva de usufruto ao transmitente, devemos realizar dois atos de registro com valor declarado.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No primeiro ato deve ser registrada a transferência da nua-propriedade e no segundo ato deve ser registrada a reserva do usufruto.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É possível, ainda, que no título contenha a transferência da nua-propriedade e a instituição do usufruto para um terceiro. Nessa hipótese, também, devem ser realizados dois registros com valor declarado.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835 e 876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expressamente na decisão que o imposto de transmissão incidente sobre o ato registral foi recolhido?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não conste, a guia do imposto e o comprovante de recolhimento devem ser apresentados.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Na partilha relativa à dissolução do casamento ou da união estável só há incidência do Imposto de Transmissão Causa Mortis e Doação - ITCMD ou do Imposto sobre a Transmissão Onerosa de Bens Imóveis por Ato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 xml:space="preserve">Inter Vivos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ITBI se os ex-cônjuges / companheiros receberam quinhão diferente do que deveriam por direito.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Assim, o imposto é devido por eventual excesso de meação, que pode gerar a incidência do ITCMD, caso não haja contraprestação, ou do ITBI, caso o excesso de meação seja compensado de forma onerosa.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Mesmo que a partilha seja igualitária, deve ser apresentada a Declaração de Informações Econômico-Fiscais - DIEF preenchida, com todos os bens móveis e imóveis constantes na partilha.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valores dos bens constantes na DIEF não podem ser inferiores aos valores constantes no título.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o ITBI for parcelado, devem ser apresentados a guia originária do ITBI, com a identificação dos imóveis, o termo de concessão do parcelamento e a quitação de todas as guias com vencimento até a data do protocolo.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o ITCMD for parcelado, o registro poderá ser realizado somente após a comprovação da quitação integral do parcelamento.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812 do CNCGFE/SC, artigos 283, inciso III, e 287 do Código Tributário do Município de Florianópolis/SC, artigos 2º, 3º, 7º, 12, parágrafo único, 12-A da Lei 13.136/2004, artigo 134, inciso VI do Código Tributário Nacional, artigo 289 da LRP e artigo 30, inciso XI da Lei 8.935/1994.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14 da LRP e artigo 4º da Lei Complementar 755/2019.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emolumentos serão de: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Averbação (sem valor) - Separação / Divórcio / Dissolução de União Estável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82 e item 3.1 da Tabela III da Lei Complementar 755/2019, atualizada e publicizada por meio da Circular 355/2023 da CGFE/SC.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Registro (com valor) - Partilha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Serão devidos os emolumentos correspondentes aos valores constantes no item 2.2 da Tabela III da Lei Complementar 755/2019, atualizada e publicizada por meio da Circular 355/2023 da CGFE/SC.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Base de Cálculo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Quando houver partilha expressa, a base de cálculo será o valor integral do imóvel, independentemente do percentual que tocar a cada um dos ex-cônjuges. Deve ser utilizado para cálculo o maior valor entre o valor declarado para o imóvel, o valor venal atribuído para fins de cobrança do imposto de transmissão e o valor real ou de mercado. 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artigos 832 e 883 do CNCGFE/SC.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houver doação da nua-propriedade, a base de cálculo será o valor declarado expressamente para a nua-propriedade ou para a doação. Para o registro da reserva ou da instituição do usufruto, a base de cálculo será o valor expressamente declarado ao usufruto ou, na sua ausência, o valor da integralidade do imóvel.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6º c/c artigo 67 da Lei Complementar 755/2019.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Unidades Acessórias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Nos registros de negócio jurídico, com as mesmas partes e que envolvam unidades autônomas principais (apartamento, sala, loja, etc.) e unidades autônomas “acessórias” (vaga, hobby-box, etc.) devem ser cobrados emolumentos integrais pelo imóvel de maior valor e 2/3 (redução de 1/3) dos emolumentos previstos na tabela para as unidades autônomas “acessórias”.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66 da Lei Complementar 755/2019.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Averbação (com valor) - Sub-rogação dos direitos (se houver alienação fiduciária)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Serão devidos os emolumentos correspondentes aos valores constantes no item 3.2 da Tabela III da Lei Complementar 755/2019, atualizada e publicizada por meio da Circular 355/2023 da CGFE/SC.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Base de Cálculo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 base de cálculo será o valor atualizado da dívida.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883 do CNCGFE/SC.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Isenção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Quando o interessado no ato for beneficiário da gratuidade da justiça, deve ser apresentado um documento extraído do processo que comprove o deferimento do benefício.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Decisão exarada em 24/01/2020, no Processo 313472-AJBGGT, pelo  Juiz de Direito Diretor do Foro da Comarca da Capital/SC.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gratuidade deferida na fase de conhecimento se estende à fase de cumprimento de sentença.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98, parágrafo 1º, inciso IX do Código de Processo Civil - CPC.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FRJ incidirá à razão de 22,73% sobre o valor dos emolumentos.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3º-A da Lei 8.067/1990.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ISS incidirá à razão de 5% sobre o valor dos emolumentos.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36 da Lei Municipal 3003/2011.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título foi qualificado positivamente?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Antes da inscrição, devemos cadastrar o ato para a emissão da Declaração sobre Operações Imobiliárias (DOI). 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2º da Instrução Normativa RFB 1.112/2010.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imóvel seja de marinha, devemos cadastrar o ato, também, para a emissão da Declaração sobre Operações Imobiliárias de Terrenos da União (DOITU).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3º-A do Decreto-Lei 2.398/1987 e artigo 2º da Portaria SPU/ME 24.218/2020.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título foi qualificado negativamente?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As exigências relacionadas ao título judicial,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protocolado pelo interessado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, cujo atendimento dependa de: (a) manifestação do juízo, serão a este submetidas, por meio de ofício, devendo, ainda, ser formulada uma nota de exigência comunicando o interessado sobre a consulta ao juízo; e (b) providência do interessado, serão a ele submetidas, por meio de nota de exigência.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LOnormal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Conferência inicial</w:t>
      </w:r>
      <w:r>
        <w:rPr>
          <w:rFonts w:eastAsia="Times New Roman" w:cs="Times New Roman" w:ascii="Times New Roman" w:hAnsi="Times New Roman"/>
          <w:sz w:val="20"/>
          <w:szCs w:val="20"/>
        </w:rPr>
        <w:t>: Data: ____/____/_____. Nome: _____________________. Assinatura: ____________________</w:t>
      </w:r>
    </w:p>
    <w:p>
      <w:pPr>
        <w:pStyle w:val="LOnormal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gutter="0" w:header="0" w:top="567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LibreOffice/7.4.2.3$Windows_X86_64 LibreOffice_project/382eef1f22670f7f4118c8c2dd222ec7ad009daf</Application>
  <AppVersion>15.0000</AppVersion>
  <Pages>5</Pages>
  <Words>3817</Words>
  <Characters>20968</Characters>
  <CharactersWithSpaces>24637</CharactersWithSpaces>
  <Paragraphs>164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2024-04-26T15:49:02Z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