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
    </w:p>
    <w:p>
      <w:pPr>
        <w:pStyle w:val="Normal1"/>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 ______________  MATRÍCULA(S): 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20"/>
          <w:sz w:val="20"/>
          <w:szCs w:val="20"/>
          <w:u w:val="single"/>
          <w:vertAlign w:val="baseline"/>
        </w:rPr>
      </w:pPr>
      <w:r>
        <w:rPr>
          <w:rFonts w:eastAsia="Times New Roman" w:cs="Times New Roman" w:ascii="Times New Roman" w:hAnsi="Times New Roman"/>
          <w:position w:val="0"/>
          <w:sz w:val="20"/>
          <w:sz w:val="20"/>
          <w:szCs w:val="20"/>
          <w:u w:val="single"/>
          <w:vertAlign w:val="baseline"/>
        </w:rPr>
      </w:r>
    </w:p>
    <w:p>
      <w:pPr>
        <w:pStyle w:val="Normal1"/>
        <w:pageBreakBefore w:val="false"/>
        <w:spacing w:lineRule="auto" w:line="240" w:before="0" w:after="0"/>
        <w:rPr>
          <w:rFonts w:ascii="Times New Roman" w:hAnsi="Times New Roman" w:eastAsia="Times New Roman" w:cs="Times New Roman"/>
          <w:b/>
          <w:b/>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 xml:space="preserve">SEPARAÇÃO </w:t>
      </w:r>
      <w:r>
        <w:rPr>
          <w:rFonts w:eastAsia="Times New Roman" w:cs="Times New Roman" w:ascii="Times New Roman" w:hAnsi="Times New Roman"/>
          <w:b/>
          <w:sz w:val="24"/>
          <w:szCs w:val="24"/>
          <w:u w:val="single"/>
        </w:rPr>
        <w:t>-</w:t>
      </w:r>
      <w:r>
        <w:rPr>
          <w:rFonts w:eastAsia="Times New Roman" w:cs="Times New Roman" w:ascii="Times New Roman" w:hAnsi="Times New Roman"/>
          <w:b/>
          <w:position w:val="0"/>
          <w:sz w:val="24"/>
          <w:sz w:val="24"/>
          <w:szCs w:val="24"/>
          <w:u w:val="single"/>
          <w:vertAlign w:val="baseline"/>
        </w:rPr>
        <w:t xml:space="preserve"> DIVÓRCIO - DISSOLUÇÃO DE UNIÃO ESTÁVEL</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sz w:val="24"/>
          <w:szCs w:val="24"/>
          <w:u w:val="single"/>
        </w:rPr>
        <w:t>PARTILHA POR ESCRITURA PÚBLICA</w:t>
      </w:r>
    </w:p>
    <w:p>
      <w:pPr>
        <w:pStyle w:val="Normal1"/>
        <w:pageBreakBefore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bl>
      <w:tblPr>
        <w:tblStyle w:val="Table1"/>
        <w:tblW w:w="10139" w:type="dxa"/>
        <w:jc w:val="left"/>
        <w:tblInd w:w="-108" w:type="dxa"/>
        <w:tblLayout w:type="fixed"/>
        <w:tblCellMar>
          <w:top w:w="0" w:type="dxa"/>
          <w:left w:w="108" w:type="dxa"/>
          <w:bottom w:w="0" w:type="dxa"/>
          <w:right w:w="108" w:type="dxa"/>
        </w:tblCellMar>
        <w:tblLook w:val="0000"/>
      </w:tblPr>
      <w:tblGrid>
        <w:gridCol w:w="424"/>
        <w:gridCol w:w="8355"/>
        <w:gridCol w:w="679"/>
        <w:gridCol w:w="680"/>
      </w:tblGrid>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sz w:val="20"/>
                <w:szCs w:val="20"/>
              </w:rPr>
              <w:t>SIM</w:t>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sz w:val="20"/>
                <w:szCs w:val="20"/>
              </w:rPr>
              <w:t>NÃO</w:t>
            </w:r>
            <w:bookmarkStart w:id="0" w:name="gjdgxs"/>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bookmarkEnd w:id="0"/>
            <w:r>
              <w:rPr>
                <w:rFonts w:eastAsia="Times New Roman" w:cs="Times New Roman" w:ascii="Times New Roman" w:hAnsi="Times New Roman"/>
                <w:position w:val="0"/>
                <w:sz w:val="20"/>
                <w:sz w:val="20"/>
                <w:szCs w:val="20"/>
                <w:vertAlign w:val="baseline"/>
              </w:rPr>
              <w:t>1</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físico, assinado manuscritamente, pode ser apresentada por meio do protocolo presencial, na via original ou em cópia autenticada, ou por meio do Serviço de Atendimento Eletrônico Compartilhado - SAEC, com cópia digitalizada, desde que seja possível conferir a autenticidade por meio do selo de fiscalização ou da plataforma do e-Notariado.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título seja digital, serão admitidas assinaturas eletrônicas qualificadas, com uso de certificado emitido com os requisitos da Infraestrutura de Chaves Públicas Brasileira - ICP-Brasil, ou avançadas, por meio do e-Notariado.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308, 762, 809 e 815 do Código de Normas da Corregedoria-Geral da Justiça do Estado de Santa Catarina -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3</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conferida a autenticidade do título apresentado?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conferência da autenticidade pode ser realizada por meio: (a) do selo digital de fiscalização, quando o Tribunal de Justiça dispuser de plataforma que contenha informações suficientes para vinculação do ato; (b) da plataforma do e-Notariado, se o instrumento permitir; ou (c) de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Conselho Nacional de Justiça - CNJ.   </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artigos 308, 355, parágrafo 1º, e 809 do CNCGFE/SC. </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4</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transmitentes e adquirentes?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estado civil, CPF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5</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transmitentes e adquirentes (retificação de dados de qualificação, separação, divórcio, novo casamento,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separação, divórcio ou dissolução de união estável deve ser realizada por meio do próprio protocolo do título, mas nos casos de separação e divórcio, deve ser apresentada a certidão de casamento com a respectiva averbação,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9º, 10 e 1.543 do Código Civil - CC e artigos  473, 814 e 815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no próprio título,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demais averbações devem ser realizadas por meio de protocolo separado, instruído com requerimento e os documentos competentes.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713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713, parágrafos 8º e 9º,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nomeação de advogado assistente?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advogado assistente pode ser procurador de ambas as partes.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 constar no título, no mínimo, o nome completo e o número da OAB do advogado assistente.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8º e 47 da Resolução 35/2007 do CNJ.</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Decisão proferida em 05/02/2018 no Processo SAE 11278-LAUNSO, pelo Juiz - Diretor do Foro da Comarca da Capital/SC.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no título indícios da existência de parcelamento de solo clandestino, devemos encaminhar Ofício para o Ministério Público, com cópia da documentação apresentada.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1.038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8</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devem constar na matrícula a averbação com: (a) os dados do Certificado de Cadastro do Imóvel Rural (CCIR); (b) os dados da inscrição no Cadastro Ambiental Rural – CAR; e (c) as coordenadas georreferenciadas, certificada pelo INCRA, nos casos de imóveis com área igual ou superior a 250.000,00m². Caso não constem, devem ser apresentados os documentos competentes para 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 constar no título ou ser apresentada a Certidão Negativa de Débitos Relativos ao Imposto sobre a Propriedade Territorial Rural (CND-ITR) ou a declaração de dispensa dos adquirentes.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seja rural e o objeto da transferência seja parte do imóvel da matrícula, devemos observar os requisitos para parcelamento do solo.</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seja rural e esteja sendo adquirido por pessoa estrangeira, física ou jurídica, devemos observar os requisitos da Lei 5.709/1971.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na matrícula a informação de que o imóvel é rural, mas o imóvel não tenha tal destinação, deve ser apresentado, em protocolo separado, ofício de cancelamento do cadastro expedido pelo INCRA.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 685, inciso XII e parágrafo 3º, do CNCGJ/SC, artigos 4º, inciso I, e 65 da Lei 4.504/1964, artigo 15 do Decreto-Lei 57/1966, artigo 21 da Lei 9.393/1996, artigo 677-A do CNCGJ/SC e artigo 8º da Lei 5.868/1972.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trate-se de imóvel cadastrado como área de marinha deve constar no título ou ser apresentada a Certidão de Autorização de Transferência (CAT), com menção ao número do Registro Imobiliário Patrimonial (RIP).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e artigos 3º e 3º-A do Decreto-Lei 2.398/1987.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imóveis de marinha sob o regime de ocupação, com títulos lavrados entre particulares até 10/06/2014, não devemos exigir a apresentação da CAT.</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7º, parágrafo 7º da Lei 9.636/1998 e artigo 8º, parágrafo 4º da Instrução Normativa 01/2018 da Secretaria do Patrimônio da União (SPU). </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Algumas averbações, como a inscrição imobiliária e o logradouro, podem ser realizadas com base no próprio título, desde que os dados necessários constem expressamente no mesmo. No entanto, os demais atos devem ser realizados por meio de protocolo apartado, no qual devem ser apresentados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798 do CNCGFE/SC. </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10</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os valores individualizados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valores declarados devem constar individualizadamente para cada imóvel, mesmo quando tratar-se de unidades autônomas de condomínios edilícios (ex: apartamento, vaga de garagem e hobby-box).</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III, item 5 da LRP.</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valores declarados pelas partes, para o negócio jurídico e/ou para fins de lançamento fiscal, apresentam dissonância com o valor de mercado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o valor declarado atingir o teto dos emolumentos, não devemos realizar nenhuma providência, mas quando não atingir, podemos utilizar como parâmetros, para encontrar o valor de mercado, os valores das transações anteriores constantes da mesma matrícula, atualizados monetariamente, os valores de transações atuais constantes nas matrículas de unidades similares, no mesmo empreendimento, </w:t>
            </w:r>
            <w:r>
              <w:rPr>
                <w:rFonts w:eastAsia="Times New Roman" w:cs="Times New Roman" w:ascii="Times New Roman" w:hAnsi="Times New Roman"/>
                <w:i/>
                <w:sz w:val="20"/>
                <w:szCs w:val="20"/>
              </w:rPr>
              <w:t>sites</w:t>
            </w:r>
            <w:r>
              <w:rPr>
                <w:rFonts w:eastAsia="Times New Roman" w:cs="Times New Roman" w:ascii="Times New Roman" w:hAnsi="Times New Roman"/>
                <w:sz w:val="20"/>
                <w:szCs w:val="20"/>
              </w:rPr>
              <w:t xml:space="preserve"> de compra e venda de imóveis ou de imobiliárias, tabela FIPE, valor de avaliação fiscal, entre outros.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Encontrado valor de mercado acima do valor declarado, devemos solicitar declaração de valor de mercado, indicando qual o parâmetro utilizado para impugnação, bem como a complementação dos custos de registro.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valor de mercado servirá, exclusivamente, como base de cálculo dos emolumentos, FRJ e ISS, não sendo necessária a complementação de outros tributos incidentes sobre o ato.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320 do CNCGFE/SC e artigo 6º, parágrafo 3º,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necessária a apresentação de declaração apartada, esta poderá ser assinada por qualquer um dos outorgados. Caso seja assinada manuscritamente deve conter o reconhecimento de firma e caso seja assinada digitalmente,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221, inciso II, da Lei 6.015/1973 e artigo 762 do CNCGFE/SC. </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12</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13</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consta no título a apresentação da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transmitente, do síndico ou da administradora do condomínio. Ademais, o adquirente pode dispensar a apresentação da comprovação de quitação ou da declaração do transmitente,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mesma poderá ser retificada ou a comprovação da quitação ou a declaração de dispensa pode ser apresentada apartada.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apartada e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e artigos 762 e 813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débitos municipais relativas aos imóveis ou a declaração de dispensa pelos adquirentes?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não conste, o título poderá ser retificado para consigná-la ou poderá ser apresentada em documento apartado.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parágrafo 2º, da Lei 7.433/1985 e artigo 1º, inciso III, alínea “a”, do Decreto 93.240/1986.</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a apresentação da certidão ou da declaração de dispensa, o título poderá ser retificado para consigná-la ou poderá ser apresentada em documento apartado. Na hipótese de apresentação apartada da declaração mencionada no item b, deverão ser apresentados, também, os documentos societários para comprovação do objeto social.</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e apresentada apartada,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e artigo 762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16</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e os imóveis sejam transferidos aos filhos dos ex-cônjuges ou companheiros,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exista uma alienação fiduciária registrada sobre a matrícula, é suficiente a apresentação de uma autorização de transferência de direitos assinada pelo credor fiduciário. Entretanto, se for apresentado um contrato de cessão da posição do fiduciante, torna-se imprescindível a análise do documento para verificar se houve alterações nas condições do financiamento e quais atos devem ser realizados na matrícula.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Independentemente da apresentação de uma autorização de transferência ou do contrato de cessão, devemos realizar os seguintes atos na matrícula: (a) registrar a partilha, tendo como base de cálculo o valor do imóvel; e (b) averbar a sub-rogação dos direitos contratuais, tendo como base de cálculo o valor atualizado da dívida.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em que a cessão de direitos não corresponda ao estipulado no instrumento de partilha, é obrigatória a inscrição de ambos os atos.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situações de partilhas igualitárias, onde cada parte recebe 50% do imóvel, não se faz necessária a apresentação de autorização do credor.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da Lei 9.514/1997, artigo 1.368-B do CC e artigo 883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17</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A transferência é relativa à propriedade plena ou à nua-propriedade?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título tiver como objeto apenas a transferência da nua-propriedade, com a reserva de usufruto ao transmitente, devemos realizar dois atos de registro com valor declarado.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primeiro ato deve ser registrada a transferência da nua-propriedade e no segundo ato deve ser registrada a reserva do usufruto.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ainda, que no título contenha a transferência da nua-propriedade e a instituição do usufruto para um terceiro. Nessa hipótese, também, devem ser realizados dois registros com valor declarado.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835 e 876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18</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Consta no título o recolhimento do imposto de transmissão relativo à partilha?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Na partilha relativa à dissolução do casamento só haverá incidência do Imposto de Transmissão Causa Mortis e Doação (ITCMD) ou do Imposto sobre a Transmissão Onerosa de Bens Imóveis por Ato </w:t>
            </w:r>
            <w:r>
              <w:rPr>
                <w:rFonts w:eastAsia="Times New Roman" w:cs="Times New Roman" w:ascii="Times New Roman" w:hAnsi="Times New Roman"/>
                <w:i/>
                <w:sz w:val="20"/>
                <w:szCs w:val="20"/>
              </w:rPr>
              <w:t xml:space="preserve">Inter Vivos </w:t>
            </w:r>
            <w:r>
              <w:rPr>
                <w:rFonts w:eastAsia="Times New Roman" w:cs="Times New Roman" w:ascii="Times New Roman" w:hAnsi="Times New Roman"/>
                <w:sz w:val="20"/>
                <w:szCs w:val="20"/>
              </w:rPr>
              <w:t>(ITBI) se os ex-cônjuges ou companheiros ficarem com quinhão diferente do que deveriam por direito.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Assim, o imposto é devido por eventual excesso de meação, que pode gerar a incidência do ITCMD, caso não haja contraprestação, ou do ITBI, caso o excesso de meação seja compensado de forma onerosa.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ITCMD for parcelado, o registro poderá ser realizado somente após a comprovação da quitação integral do parcelamento.</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812 do CNCGFE/SC, artigos 283, inciso III, e 287 do Código Tributário do Município de Florianópolis/SC, artigos 2º, 3º, 7º, 12, parágrafo único, 12-A da Lei 13.136/2004, artigo 134, inciso VI do Código Tributário Nacional, artigo 289 da LRP e artigo 30, inciso XI da Lei 8.935/1994.</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(sem valor) - Separação - Divórcio - Dissolução de União Estável</w:t>
            </w:r>
            <w:r>
              <w:rPr>
                <w:rFonts w:eastAsia="Times New Roman" w:cs="Times New Roman" w:ascii="Times New Roman" w:hAnsi="Times New Roman"/>
                <w:sz w:val="20"/>
                <w:szCs w:val="20"/>
              </w:rPr>
              <w:t xml:space="preserv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82 e item 3.1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 - Partilha</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xml:space="preserve">: Quando houver partilha expressa, a base de cálculo será o valor integral do imóvel, independentemente do percentual que tocar a cada um dos ex-cônjuges. Deve ser utilizado para cálculo o maior valor entre o valor declarado para o imóvel, o valor venal atribuído para fins de cobrança do imposto de transmissão e o valor real ou de mercado.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artigos 832 e 883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houver doação da nua-propriedade, a base de cálculo será o valor declarado expressamente para a nua-propriedade ou para a doação. Para o registro da reserva ou da instituição do usufruto, a base de cálculo será o valor expressamente declarado ao usufruto ou, na sua ausência, o valor da integralidade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6º c/c artigo 67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as mesmas partes e que envolvam unidades autônomas principais (apartamento, sala, loja, etc.) e unidades autônomas “acessórias” (vaga, hobby-box, etc.) devem ser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Averbação (com valor) - Sub-rogação dos direitos (se houver alienação fiduciária)</w:t>
            </w:r>
            <w:r>
              <w:rPr>
                <w:rFonts w:eastAsia="Times New Roman" w:cs="Times New Roman" w:ascii="Times New Roman" w:hAnsi="Times New Roman"/>
                <w:sz w:val="20"/>
                <w:szCs w:val="20"/>
              </w:rPr>
              <w:t>: Serão devidos os emolumentos correspondentes aos valores constantes no item 3.2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A base de cálculo será o valor atualizado da dívida.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883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718" w:hRule="atLeast"/>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Antes da inscrição, devemos cadastrar o ato para a emissão da Declaração sobre Operações Imobiliárias (DOI).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da Instrução Normativa RFB 1.112/2010.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 imóvel seja de marinha, devemos cadastrar o ato, também, para a emissão da Declaração sobre Operações Imobiliárias de Terrenos da União (DOITU).</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3º-A do Decreto-Lei 2.398/1987 e artigo 2º da Portaria SPU/ME 24.218/2020.</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c>
          <w:tcPr>
            <w:tcW w:w="424"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1</w:t>
            </w:r>
          </w:p>
        </w:tc>
        <w:tc>
          <w:tcPr>
            <w:tcW w:w="8355"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79"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8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1134" w:right="1134"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LibreOffice/7.4.2.3$Windows_X86_64 LibreOffice_project/382eef1f22670f7f4118c8c2dd222ec7ad009daf</Application>
  <AppVersion>15.0000</AppVersion>
  <Pages>6</Pages>
  <Words>3862</Words>
  <Characters>21237</Characters>
  <CharactersWithSpaces>24954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2024-04-26T15:46:21Z</dcterms:modified>
  <cp:revision>1</cp:revision>
  <dc:subject/>
  <dc:title/>
</cp:coreProperties>
</file>