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ind w:left="-850" w:hanging="284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 xml:space="preserve">                               </w:t>
      </w:r>
    </w:p>
    <w:p>
      <w:pPr>
        <w:pStyle w:val="Normal1"/>
        <w:spacing w:lineRule="auto" w:line="240" w:before="0" w:after="0"/>
        <w:ind w:left="-850" w:hanging="284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ind w:left="-850" w:hanging="284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PROTOCOLO:_____________________  MATRÍCULA(S):______________________________________________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SUB-ROGAÇÃO D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A DÍVIDA E DA GARANTIA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 xml:space="preserve"> 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PORTABILIDADE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DO CRÉDITO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16"/>
          <w:sz w:val="16"/>
          <w:szCs w:val="16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16"/>
          <w:sz w:val="16"/>
          <w:szCs w:val="16"/>
          <w:vertAlign w:val="baseline"/>
        </w:rPr>
      </w:r>
    </w:p>
    <w:tbl>
      <w:tblPr>
        <w:tblStyle w:val="Table1"/>
        <w:tblW w:w="1082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2"/>
        <w:gridCol w:w="9052"/>
        <w:gridCol w:w="602"/>
        <w:gridCol w:w="622"/>
      </w:tblGrid>
      <w:tr>
        <w:trPr>
          <w:trHeight w:val="28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 - ICP-Brasil, ou avançadas, por meio do “e-Notariado” ou do assinador do portal “Gov.br”.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Código de Normas da Corregedoria-Geral do Foro Extrajudicial do Estado de Santa Catarina -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títulos físicos enquadrados no Sistema de Financiamento Imobiliário (SFI) e no sistema de Consórcio é necessário o reconhecimento das firmas, mas não é necessário conter as rubricas.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incisos II e V,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títulos físicos enquadrados no Programa Minha Casa Minha Vida (PMCMV), no Programa Casa Verde Amarela, no Fundo de Arrendamento Residencial (FAR) e no Programa de Arrendamento Residencial (PAR) não é necessário o reconhecimento das firmas.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V,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títulos físicos enquadrados no Sistema Financeiro Habitacional (SFH) não é necessário o reconhecimento das firmas, mas todas as partes devem rubricar as folhas do título. Assim, quando coletadas as assinaturas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(a) testemunhas, é importante que as mesmas rubriquem todas as páginas do título ou que ao lado das assinaturas das partes (transmitentes e adquirentes) constem as rubricas, para identificá-las; 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(b) um mesmo procurador para representar mais de uma parte do título, é importante que ao lado da assinatura conste sua rubrica, para identificação.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incisos II, da LRP e artigo 61, parágrafo 6º, da Lei 4.380/1964.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18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outorgantes (cedentes)?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CPF, estado civil e endereço e para as pessoas jurídicas: denominação social, CNPJ, sede e representantes.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Sendo casado ou convivente em união estável, deve constar a qualificação completa do cônjuge ou companheiro, bem como o regime de bens e a data em que foi constituído ou se foi antes ou depois da Lei 6.515/1977.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dispensável a qualificação completa do cônjuge ou companheiro quando pactuado o regime da separação absoluta de bens, bastando a indicação do nome do cônjuge ou companheiro.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havendo declaração de convivência em união estável, devemos presumir a sua ausência.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“b”, da LRP e artigo 706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pacto antenupcial ou o instrumento de constituição de união estável em que tenha sido pactuado regime de bens diverso do legal, deve ser registrado no Livro 3/RA e averbado em todas as matrículas em que os cônjuges ou companheiros sejam detentores de direito real.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o pacto antenupcial ou o instrumento de união estável já esteja registrado, deve constar no título menção ao respectivo registro. Se não estiver registrado, o pacto deverá ser registrado no Registro de Imóveis competente pela circunscrição do domicílio dos cônjuges e o instrumento de união estável poderá ser registrado, a requerimento da parte, nesta serventia.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 ausência de informação sobre o regime de bens adotado para a união estável, devemos presumir o regime legal da comunhão parcial.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Nas matrículas em que o registro no Livro 3/RA tenha sido mencionado na qualificação das partes, não precisamos realizar uma averbação apartada antes de registrar o título.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244 da LRP e artigos 707 e 729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os outorgantes forem casados ou conviverem em regime de união estável, é necessária a autorização do cônjuge ou companheiro para a transferência do imóvel, salvo se for adotado o regime da separação de bens ou se, adotado o regime da participação final nos aquestos, houver estipulação expressa no pacto antenupcial ou no instrumento de união estável sobre a livre disposição do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1.647, inciso I, 1.656 e 1.687 do Código Civil - CC.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18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dos outorgantes (retificação de dados de qualificação, casamento, divórcio, alteração da razão social, dissolução de união estável,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de retificação pode ser realizada com base no próprio título, quando os dados necessários constarem expressamente.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pode ser realizada ainda por meio de requerimento, acompanhado dos documentos competentes, apresentados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2, e 213, inciso I, alínea “g”, da LRP e artigo 713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e 713, parágrafos 8º e 9º,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18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outorgados (credores fiduciários)?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elementos mínimos para qualificação das pessoas físicas são: nome, nacionalidade, CPF, estado civil e endereço e para as pessoas jurídicas: denominação social, CNPJ, sede e representantes.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Sendo casado ou convivente em união estável, deve constar a qualificação completa do cônjuge ou companheiro, bem como o regime de bens e a data em que foi constituído ou se foi antes ou depois da Lei 6.515/1977.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dispensável a qualificação completa do cônjuge ou companheiro quando pactuado o regime da separação absoluta de bens, bastando a indicação do nome do cônjuge ou companheiro.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havendo declaração de convivência em união estável, devemos presumir a sua ausência.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III, item 2, alíneas “a” e “b”, da LRP e artigo 706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o pacto antenupcial ou o instrumento de união estável já esteja registrado, deve constar no título menção ao respectivo registro. Se não estiver registrado, o pacto deverá ser registrado no Registro de Imóveis competente pela circunscrição do domicílio dos cônjuges e o instrumento de união estável poderá ser registrado, a requerimento da parte, nesta serventia.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Nas hipóteses acima, devemos realizar uma averbação autônoma, após o registro do título, para publicizar o registro da convenção no Livro 3/RA.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 ausência de informação sobre o regime de bens adotado para a união estável, devemos presumir o regime legal da comunhão parcial.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244 da LRP e artigos 707 e 729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os outorgados estejam representados por seus administradores, foram apresentados os documentos hábeis a atestar seus poderes?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basta identificar os administradores, é necessário conferir quais são os poderes e quais administradores devem assinar o título.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devem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já tenhamos os documentos arquivados no servidor de arquivos, devemos apenas conferir a atualidade.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296, parágrafo 2º, 794, 799, 814 e 815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os outorgados estejam representados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2º, parágrafo 1º, da Lei 7.433/1985 e artigo 222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e 225 da LRP.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Decisão proferida em 05/02/2018 no Processo SAE 11278-LAUNSO, pelo Juiz - Diretor do Foro da Comarca da Capital/SC.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contém as informações listadas abaixo?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valor da dívida, sua estimação ou se valor máximo;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prazo e as condições de reposição do empréstimo ou do crédito do fiduciário;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taxa de juros e os encargos incidentes;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cláusula de constituição da propriedade fiduciária, com a descrição do imóvel objeto da alienação fiduciária e a indicação do título e modo de aquisição;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cláusula assegurando ao fiduciante a livre utilização, por sua conta e risco, do imóvel objeto da alienação fiduciária, exceto na hipótese de inadimplência;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indicação, para efeito de venda em público leilão, do valor do imóvel e dos critérios para a respectiva revisão; 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cláusula que disponha sobre os procedimentos de que tratam os artigos 26-A, 27 e 27-A da Lei 9.514/1997.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24 da Lei 9.514/1997.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documento emitido pelo credor originário que ateste a validade da sub-rogação do financiamento?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credor originário poderá emitir uma declaração que ateste a validade da sub-rogação, um termo de quitação ou, ainda, um termo de recebimento de valores.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referido documento deve fazer referência ao título originário quitado (menção ao título ou indicação das matrícula alienadas fiduciariamente, etc.).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alienação fiduciária objeto da sub-rogação estiver vinculada a outros títulos ou atos, como por exemplo: a emissão de Cédula de Crédito Imobiliário (CCI), caução (garantia), cessão fiduciária de direitos creditórios e registro da cédula no Livro 3/RA, deverá constar no documento a menção expressa ao cancelamento do respectivo título ou ato.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33-A da Lei 9.514/1997.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uma Cédula de Crédito Imobiliário (CCI) vinculada à operação?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tenha sido apresentada, devemos conferir se a CCI contém todos os requisitos para a averbação de sua emissão, quais sejam: (a) a denominação "Cédula de Crédito Imobiliário"; (b) o nome, a qualificação e o endereço do credor e do devedor e, no caso de emissão escritural, também o do custodiante; (c) a identificação do imóvel objeto do crédito imobiliário, com a indicação da respectiva matrícula; (d) a modalidade da garantia; (e) o número e a série da cédula; (f) o valor do crédito que representa; (g) a condição de integral ou fracionária e, nessa última hipótese, também a indicação da fração que representa; (h) o prazo, a data de vencimento, o valor da prestação total, nela incluídas as parcelas de amortização e juros, as taxas, seguros e demais encargos contratuais de responsabilidade do devedor, a forma de reajuste e o valor das multas previstas contratualmente, com a indicação do local de pagamento; (i) o local e a data da emissão; (j) a assinatura do credor, quando emitida cartularmente; e (k) a cláusula à ordem, se endossável.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 da Lei 10.931/2004.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conferir, ainda, se sobre as matrículas objetos da garantia encontram-se inscritos ou prenotados outros ônus reais ou gravames judiciais. Em caso positivo, em regra, fica vedada a averbação de emissão da CCI nas matrículas.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25 da Lei 10.931/2004.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CCI contenha todos os requisitos e não se enquadre nas hipóteses de vedação mencionada acima, devemos averbar a emissão da CCI nas matrículas dos imóveis objetos da garantia, constando na averbação o número e a série da CCI e a identificação da entidade custodiante.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18, parágrafo 5º, da Lei 10.931/2004.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solicitados, concomitantemente, o registro da garantia real e a averbação da emissão da CCI, não serão devidos custos para a averbação da CCI.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18, parágrafo 6º, da Lei 10.931/2004.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Averbação (com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v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alor)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Serão devidos os emolumentos previstos no item 3.2 da Tabela III da Lei Complementar 755/2019, atualizada e publicizada por meio da Circular 355/2023 da CGFE/SC.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76 da Lei Complementar 755/2019.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 base de cálculo dos emolumentos será o valor da dívida sub-rogada, limitada ao valor do imóvel.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Ex.: Num título onde o valor da dívida sub-rogada totaliza R$ 300.000,00 e os imóveis objetos da garantia foram avaliados em R$ 800.000,00 (apartamento), R$ 60.000,00 (vaga) e R$ 20.000,00 (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hobby-box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), as bases de cálculo dos emolumentos serão R$ 300.000,00, R$ 60.000,00 e R$ 20.000,00, respectivamente.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67 da Lei Complementar 755/2019.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Por se tratar de ato de averbação, não se aplica a redução prevista no artigo 66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deverão constar no ato registral outros elementos de qualificação, como dados dos representantes, procuradores, avalistas, fiadores e outros que digam respeito a elementos não essenciais do negócio jurídico, salvo quando envolver incapazes.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Nos casos em que a qualificação subjetiva já consta de ato anterior praticado na mesma matrícula, podemos mencionar que se trata de pessoa já qualificada.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706, parágrafos 4º e 5º,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5</Pages>
  <Words>3218</Words>
  <Characters>17521</Characters>
  <CharactersWithSpaces>20636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2024-04-26T15:41:01Z</dcterms:modified>
  <cp:revision>1</cp:revision>
  <dc:subject/>
  <dc:title/>
</cp:coreProperties>
</file>