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t>SUPERFÍCIE</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r>
    </w:p>
    <w:tbl>
      <w:tblPr>
        <w:tblStyle w:val="Table1"/>
        <w:tblW w:w="10305" w:type="dxa"/>
        <w:jc w:val="left"/>
        <w:tblInd w:w="-108" w:type="dxa"/>
        <w:tblLayout w:type="fixed"/>
        <w:tblCellMar>
          <w:top w:w="0" w:type="dxa"/>
          <w:left w:w="108" w:type="dxa"/>
          <w:bottom w:w="0" w:type="dxa"/>
          <w:right w:w="108" w:type="dxa"/>
        </w:tblCellMar>
        <w:tblLook w:val="0000"/>
      </w:tblPr>
      <w:tblGrid>
        <w:gridCol w:w="464"/>
        <w:gridCol w:w="8487"/>
        <w:gridCol w:w="663"/>
        <w:gridCol w:w="690"/>
      </w:tblGrid>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superfície é um direito real sobre a propriedade alheia, que confere ao superficiário a possibilidade de construir ou plantar em terreno de outrem, usufruindo das construções ou plantações durante um determinado período de tempo.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1.225, inciso II, e 1.369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highlight w:val="white"/>
              </w:rPr>
              <w:t>A escritura pública é essencial à validade dos negócios jurídicos que visem à constituição, transferência, modificação ou renúncia de direitos reais sobre imóveis de valor superior a trinta vezes o maior salário mínimo vigente no País.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108 do CC.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762, 809 e 815 do Código de Normas da Corregedoria-Geral da Justiça do Estado de Santa Catarina - CNCGFE/SC.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instituidores?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(a) físicas são: nome, nacionalidade, estado civil, CPF e endereço; e (b) jurídicas são: denominação social, CNPJ, sede e qualificação dos representantes no 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instituidores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instituidores forem pessoas casadas, é necessária a autorização do cônjuge, salvo se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instituidores sejam pessoas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instituidor.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Corregedoria-Geral de Justiça de Santa Catarina - CGJ/SC e artigo 1.647, inciso II do CC.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instituidores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nela constarem.</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também pode ser realizada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instituidores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os instituidores declararem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273" w:hRule="atLeast"/>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7</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superficiários?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(a) físicas são: nome, nacionalidade, estado civil, CPF e endereço; e (b) jurídicas são: denominação social, CNPJ, sede e qualificação dos representantes no 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identificação do objeto da superfície?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instituição do direito real de superfície sobre a integralidade ou parte do terreno da matrícula, devendo, nesta hipótese, ser apresentados planta, memorial descritivo e anotação de responsabilidade técnica relativa ao levantamento cadastral territorial. Na planta deve conter o levantamento da área da matrícula e da área objeto da superfície.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recomendável que o levantamento seja realizado de acordo com a ABNT NBR 17.047/2022.</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a instituição da superfície sobre parte da edificação averbada na matrícula (superfície por cisão), devendo, neste caso, ser apresentadas planta e anotação de responsabilidade técnica. A planta deve conter a edificação averbada na matrícula e a identificação da parte que será objeto da superfície. Na hipótese de superfície por cisão, o superficiário não construirá sobre terreno, mas realizará reformas, instalações, manutenções, etc.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1.369 do CC, artigos 176, parágrafo 1º, inciso II, 3, “b”, e 225 da LRP, artigo 618 do CNCGJ/SC e Circular 59/2023 da 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da superfície for a integralidade do terreno e este contar com matrícula própria, poderáser consignado no título somente a localização completa e o número da matrícula, não havendo necessidade da descrição completa.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9</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 constar na matrícula: (a) os dados do Certificado de Cadastro do Imóvel Rural (CCIR); e (b) a averbação do recibo de inscrição no Cadastro Ambiental Rural – CAR. Caso não conste, os referidos documentos devem ser apresentados para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e artigo 4º, inciso I da Lei 4.504/1964.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 constar no título ou ser apresentada a Certidão Negativa de Débitos Relativos ao Imposto sobre a Propriedade Territorial Rural (CND-ITR) ou a declaração de dispensa dos superficiários.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15 do Decreto-Lei 57/1966, artigo 21 da Lei 9.393/1996 e artigo 677-A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conste na matrícula a informação de que o imóvel é rural, mas atualmente o imóvel não tenha a referida destinação, pode ser apresentado, em protocolo separado, um ofício de cancelamento do cadastro expedido pelo INCRA. </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instituído em favor de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um imóvel cadastrado como área de marinha, deve constar na matrícula o número do Registro Imobiliário Patrimonial (RIP). Caso não conste, deve ser apresentada a Certidão do RIP para averbação na matrícula.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 2.398/1987.</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11</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 prazo de vigência do direito de superfície?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proprietário pode, por tempo determinado, conceder a outrem o direito de construir ou plantar em seu terreno, por esse motivo é imprescindível que na escritura conste o período de vigência do direito real.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1.369 do CC.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 valor atribuído para a constituição do direito real de superfície?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mais de um terreno, devem constar os valores de forma individualizada.</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O valor do negócio jurídico deve ser atribuído independentemente da constituição ser onerosa ou gratuita.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14 e 176, inciso III, 5, da LRP, artigo 6º da Lei Complementar 755/2019 e artigo 1.370 do CC. </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CN/CG-Extra.</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Incide sobre o imóvel algum ônus real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superficiários devem, apenas,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autorização do credor/instituidor,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constituição de cláusula resolutiva?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positivo, constar a cláusula no campo “condições” do registro, destacando-a em “caixa alta” e “negrito”.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690 do CNCGJ/SC.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position w:val="0"/>
                <w:sz w:val="20"/>
                <w:sz w:val="20"/>
                <w:szCs w:val="20"/>
                <w:u w:val="single"/>
                <w:vertAlign w:val="baseline"/>
              </w:rPr>
            </w:pPr>
            <w:r>
              <w:rPr>
                <w:rFonts w:eastAsia="Times New Roman" w:cs="Times New Roman" w:ascii="Times New Roman" w:hAnsi="Times New Roman"/>
                <w:b/>
                <w:sz w:val="20"/>
                <w:szCs w:val="20"/>
                <w:u w:val="single"/>
              </w:rPr>
              <w:t xml:space="preserve">Consta na escritura o recolhimento, se a constituição for onerosa,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w:t>
            </w:r>
            <w:r>
              <w:rPr>
                <w:rFonts w:eastAsia="Times New Roman" w:cs="Times New Roman" w:ascii="Times New Roman" w:hAnsi="Times New Roman"/>
                <w:b/>
                <w:position w:val="0"/>
                <w:sz w:val="20"/>
                <w:sz w:val="20"/>
                <w:szCs w:val="20"/>
                <w:u w:val="single"/>
                <w:vertAlign w:val="baseline"/>
              </w:rPr>
              <w:t xml:space="preserve">ITBI) ou, se gratuita, do Imposto de Transmissão </w:t>
            </w:r>
            <w:r>
              <w:rPr>
                <w:rFonts w:eastAsia="Times New Roman" w:cs="Times New Roman" w:ascii="Times New Roman" w:hAnsi="Times New Roman"/>
                <w:b/>
                <w:i/>
                <w:position w:val="0"/>
                <w:sz w:val="20"/>
                <w:sz w:val="20"/>
                <w:szCs w:val="20"/>
                <w:u w:val="single"/>
                <w:vertAlign w:val="baseline"/>
              </w:rPr>
              <w:t>Causa Mortis</w:t>
            </w:r>
            <w:r>
              <w:rPr>
                <w:rFonts w:eastAsia="Times New Roman" w:cs="Times New Roman" w:ascii="Times New Roman" w:hAnsi="Times New Roman"/>
                <w:b/>
                <w:position w:val="0"/>
                <w:sz w:val="20"/>
                <w:sz w:val="20"/>
                <w:szCs w:val="20"/>
                <w:u w:val="single"/>
                <w:vertAlign w:val="baseline"/>
              </w:rPr>
              <w:t xml:space="preserve"> e Doação (ITCMD)?</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289 da LRP, artigo 30, inciso XI, da Lei 8.935/1994, artigo 505 do CNCGJ/SC, artigos 278, inciso II, e 281 do Código Tributário do Município de Florianópolis/SC e artigos 12, inciso I, alínea “a”, da Lei 13.136/2004.</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os valores declarados para o negócio e para lançamento do imposto de transmissão.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48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63"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b/>
          <w:b/>
          <w:sz w:val="20"/>
          <w:szCs w:val="20"/>
          <w:highlight w:val="white"/>
        </w:rPr>
      </w:pPr>
      <w:r>
        <w:rPr>
          <w:rFonts w:eastAsia="Times New Roman" w:cs="Times New Roman" w:ascii="Times New Roman" w:hAnsi="Times New Roman"/>
          <w:b/>
          <w:sz w:val="20"/>
          <w:szCs w:val="20"/>
          <w:highlight w:val="whit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5</Pages>
  <Words>3322</Words>
  <Characters>18139</Characters>
  <CharactersWithSpaces>21331</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2024-04-26T15:37:07Z</dcterms:modified>
  <cp:revision>1</cp:revision>
  <dc:subject/>
  <dc:title/>
</cp:coreProperties>
</file>