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pageBreakBefore w:val="false"/>
        <w:spacing w:lineRule="auto" w:line="240" w:before="0" w:after="0"/>
        <w:rPr>
          <w:rFonts w:ascii="Times New Roman" w:hAnsi="Times New Roman" w:eastAsia="Times New Roman" w:cs="Times New Roman"/>
          <w:position w:val="0"/>
          <w:sz w:val="20"/>
          <w:sz w:val="20"/>
          <w:szCs w:val="20"/>
          <w:vertAlign w:val="baseline"/>
        </w:rPr>
      </w:pPr>
      <w:r>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LOnormal"/>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LOnormal"/>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LOnormal"/>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LOnormal"/>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UNIFICAÇÃO (FUSÃO - AMEMBRAMENTO)</w:t>
      </w:r>
    </w:p>
    <w:p>
      <w:pPr>
        <w:pStyle w:val="LOnormal"/>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tbl>
      <w:tblPr>
        <w:tblStyle w:val="Table1"/>
        <w:tblW w:w="10350" w:type="dxa"/>
        <w:jc w:val="left"/>
        <w:tblInd w:w="63" w:type="dxa"/>
        <w:tblLayout w:type="fixed"/>
        <w:tblCellMar>
          <w:top w:w="0" w:type="dxa"/>
          <w:left w:w="108" w:type="dxa"/>
          <w:bottom w:w="0" w:type="dxa"/>
          <w:right w:w="108" w:type="dxa"/>
        </w:tblCellMar>
        <w:tblLook w:val="0000"/>
      </w:tblPr>
      <w:tblGrid>
        <w:gridCol w:w="503"/>
        <w:gridCol w:w="8601"/>
        <w:gridCol w:w="645"/>
        <w:gridCol w:w="600"/>
      </w:tblGrid>
      <w:tr>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p>
        </w:tc>
      </w:tr>
      <w:tr>
        <w:trPr>
          <w:trHeight w:val="52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requerimento?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requerimento para unificação de matrículas?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requerimento deve conter as qualificações e as assinaturas dos proprietários, assim como a indicação dos números das matrículas dos imóveis que serão unificados.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13, inciso II, e artigo 222 da LRP e artigos 828 do Código de Normas da Corregedoria-Geral do Foro Extrajudicial do Estado de Santa Catarina - CNCGFE/SC.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em que não seja necessária a apresentação de planta e memorial descritivo, conforme esclarecido no item abaixo, deve constar no requerimento as descrições dos imóveis unificados e do imóvel resultante, com área total, medidas perimetrais, confrontações e localização.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176, parágrafo 1º, inciso II, 3, artigo 221, inciso II, e artigo 225 da LRP.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assinado manuscritamente, deve conter o reconhecimento de firma e ser apresentado na via original.</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 e artigo 814 do CNCGFE/SC.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digital, serão admitidas assinaturas eletrônicas qualificadas, com uso de certificado emitido com os requisitos da Infraestrutura de Chaves Públicas Brasileira  - ICP-Brasil, ou avançadas, por meio do “e-Notariado” ou do assinador do portal “Gov.br”.</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CNCGFE/SC.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Quando necessário, foram apresentados a planta e o memorial descritivo do levantamento topográfico relativo à unificação?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Não será necessária a apresentação de planta e memorial descritivo quando tivermos planta arquivada relativa a atos realizados nas matrículas objetos da unificação, como por exemplo, loteamento, desmembramento, usucapião, retificação de área, etc.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em que não seja necessária a apresentação de planta e memorial descritivo, deve constar no requerimento as descrições dos imóveis unificados e do imóvel resultante, com área total, medidas perimetrais, confrontações e localização.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necessário, a planta e o memorial devem conter as identificações dos imóveis objetos da unificação e do imóvel resultante, assim como as assinaturas de um dos proprietários e do responsável técnico pelo levantamento.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alguma medida perimetral for curva, deve constar a medida perimetral do desenvolvimento e o raio da curvatura.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176, parágrafo 1º, inciso II, 3, artigo 221, inciso II, e artigo 225 da LRP.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planta e o memorial sejam assinados manuscritamente, devem conter os reconhecimentos de firma e serem apresentados na via original.</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 e artigo 814 do CNCGFE/SC.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planta e o memorial sejam assinados digitalmente, deve ser utilizado um certificado emitido com os requisitos da Infraestrutura de Chaves Públicas Brasileira (ICP-Brasil) ou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 parágrafo 2º da Medida Provisória 2.200-2/2001, artigo 12 do Provimento 89/2019 do CNJ e artigos 292, parágrafo 5º e 312 do CNN/CN/CNJ-Extra.</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76"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Quando necessário, foi apresentada a anotação de responsabilidade técnica referente ao levantamento topográfico?</w:t>
            </w:r>
          </w:p>
          <w:p>
            <w:pPr>
              <w:pStyle w:val="LOnormal"/>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anotação de responsabilidade deve ser apresentada somente quando apresentados a planta e o memorial descritivo do levantamento topográfico.</w:t>
            </w:r>
          </w:p>
          <w:p>
            <w:pPr>
              <w:pStyle w:val="LOnormal"/>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apresentada, devemos conferir se os dados mencionados na anotação de responsabilidade são relativos ao trabalho técnico realizado, assim como, conferir a autenticidade da anotação de responsabilidade no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do respectivo conselho profissional.</w:t>
            </w:r>
          </w:p>
          <w:p>
            <w:pPr>
              <w:pStyle w:val="LOnormal"/>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necessário o reconhecimento de firma.</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785 do CN/CG-Extra.</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 requerente seja pessoa jurídica e esteja representado por um de seus administradores, foi apresentado o documento hábil a comprovar seu poder de administração?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comprovação pode ser realizada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Sócios e Administradores (QSA) da Receita Federal.</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mais de um administrador, bastará a assinatura de qualquer um deles.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799, 814 e 815 do CNCGFE/SC.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alguma parte esteja representada por procurador, foi apresentada a procuração?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deve conferir poderes específicos para o ato a ser realizado e a identificação dos imóveis.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661, parágrafo 1º, do Código Civil - CC.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pode ser apresentada em instrumento público ou particular, na via original ou em cópia autenticada.</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procuração seja particular, deve conter o reconhecimento de firma do outorgante, exceto quando outorgada para advogado, hipótese em que o reconhecimento será dispensável.</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pelo interessado.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públicas lavradas em outros Estados da Federação, devemos realizar o procedimento de confirmação de autenticidade e eficácia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procuração for pública e o procurador investido por meio de substabelecimento, deve ser apresentada toda a cadeia de procurações para conferência da autenticidade e, se for o caso, da eficácia.</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autenticidade do ato só é garantida depois do recebimento dos dados pelo Poder Judiciário.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355, parágrafo 1º, do CNCGFE/SC.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1.018 do CC.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requerentes são proprietários dos imóveis a serem unificados?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há obrigatoriedade de correspondência nos percentuais de propriedade, mas todos os requerentes devem ser proprietários de todos os imóveis a serem unificados.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 caso de unificação de imóvel alodial com imóvel de marinha aforado, é possível a unificação desde que apresentada uma anuência da União Federal.  </w:t>
            </w:r>
          </w:p>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234 da LRP.</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265"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8</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proprietários (retificação de dados, alteração de estado civil, etc.)?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necessário, devem ser apresentados o requerimento e o documento hábil em protocolo separado.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LOnormal"/>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LOnormal"/>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0</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sz w:val="20"/>
                <w:szCs w:val="20"/>
                <w:u w:val="single"/>
              </w:rPr>
              <w:t>C</w:t>
            </w:r>
            <w:r>
              <w:rPr>
                <w:rFonts w:eastAsia="Times New Roman" w:cs="Times New Roman" w:ascii="Times New Roman" w:hAnsi="Times New Roman"/>
                <w:b/>
                <w:position w:val="0"/>
                <w:sz w:val="20"/>
                <w:sz w:val="20"/>
                <w:szCs w:val="20"/>
                <w:u w:val="single"/>
                <w:vertAlign w:val="baseline"/>
              </w:rPr>
              <w:t>onsta alguma edificação sobre os imóveis unificados?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position w:val="0"/>
                <w:sz w:val="20"/>
                <w:sz w:val="20"/>
                <w:szCs w:val="20"/>
                <w:vertAlign w:val="baseline"/>
              </w:rPr>
              <w:t>- Caso a</w:t>
            </w:r>
            <w:r>
              <w:rPr>
                <w:rFonts w:eastAsia="Times New Roman" w:cs="Times New Roman" w:ascii="Times New Roman" w:hAnsi="Times New Roman"/>
                <w:sz w:val="20"/>
                <w:szCs w:val="20"/>
              </w:rPr>
              <w:t xml:space="preserve"> edificação esteja averbada em uma das matrículas unificadas, deve constar a identificação da edificação no requerimento, na descrição do imóvel unificado e do imóvel resultante da unificação.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identificada, no requerimento, na planta ou no memorial, uma edificação ainda não averbada na matrícula, devemos solicitar esclarecimento aos requerentes. Se a edificação tiver “habite-se”, deve ser requerida a averbação da construção em protocolo separado e se a edificação não tiver “habite-se”, os documentos poderão ser retificados ou apresentado um requerimento de cindibilidade, para que a unificação seja realizada, ficando a regularização da edificação para um momento posterior.</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 3, e artigo 225 da LRP e artigo 692-B do CNCGJ/SC.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objetos da unificação são urbanos?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deve constar na matrícula: (a) os dados do Certificado de Cadastro do Imóvel Rural (CCIR); e (b) a averbação do recibo de inscrição no Cadastro Ambiental Rural – CAR. Caso não conste, os referidos documentos devem ser apresentados para averbação.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conste na matrícula a informação de que o imóvel é rural, mas atualmente o imóvel não tenha a referida destinação, pode ser apresentado, em protocolo separado, um ofício de cancelamento do cadastro expedido pelo INCRA.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do CNCGJ/SC, artigo 4º, inciso I da Lei 4.504/1964 e artigo 15 do Decreto-Lei 57/1966.</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 trate de um imóvel cadastrado como área de marinha, deve constar na matrícula o número do Registro Imobiliário Patrimonial (RIP). Caso não conste, deve ser apresentada a Certidão do RIP para averbação na matrícula.</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 2.398/1987.</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2</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sz w:val="20"/>
                <w:szCs w:val="20"/>
                <w:u w:val="single"/>
              </w:rPr>
              <w:t>Sobre os imóveis objetos da unificação consta algum ônus, gravame ou ação judicial</w:t>
            </w:r>
            <w:r>
              <w:rPr>
                <w:rFonts w:eastAsia="Times New Roman" w:cs="Times New Roman" w:ascii="Times New Roman" w:hAnsi="Times New Roman"/>
                <w:b/>
                <w:position w:val="0"/>
                <w:sz w:val="20"/>
                <w:sz w:val="20"/>
                <w:szCs w:val="20"/>
                <w:u w:val="single"/>
                <w:vertAlign w:val="baseline"/>
              </w:rPr>
              <w:t>?</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position w:val="0"/>
                <w:sz w:val="20"/>
                <w:sz w:val="20"/>
                <w:szCs w:val="20"/>
                <w:vertAlign w:val="baseline"/>
              </w:rPr>
              <w:t>- Caso haja a a</w:t>
            </w:r>
            <w:r>
              <w:rPr>
                <w:rFonts w:eastAsia="Times New Roman" w:cs="Times New Roman" w:ascii="Times New Roman" w:hAnsi="Times New Roman"/>
                <w:sz w:val="20"/>
                <w:szCs w:val="20"/>
              </w:rPr>
              <w:t>verbação de algum bloqueio judicial, devemos expedir um ofício ao Juízo que determinou o bloqueio, consultando-o sobre a possibilidade da unificação.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ônus, gravame ou ação não impeça a unificação, devem ser transportados para a matrícula resultante.</w:t>
            </w:r>
          </w:p>
          <w:p>
            <w:pPr>
              <w:pStyle w:val="LO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666 do CNCGJ/SC.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3</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Abertura de Matrícula</w:t>
            </w:r>
            <w:r>
              <w:rPr>
                <w:rFonts w:eastAsia="Times New Roman" w:cs="Times New Roman" w:ascii="Times New Roman" w:hAnsi="Times New Roman"/>
                <w:sz w:val="20"/>
                <w:szCs w:val="20"/>
              </w:rPr>
              <w:t xml:space="preserve">: </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1.1 da Tabela III da Lei Complementar 755/2019, atualizada e publicizada por meio da Circular 355/2023 da 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w:t>
            </w:r>
            <w:r>
              <w:rPr>
                <w:rFonts w:eastAsia="Times New Roman" w:cs="Times New Roman" w:ascii="Times New Roman" w:hAnsi="Times New Roman"/>
                <w:sz w:val="20"/>
                <w:szCs w:val="20"/>
              </w:rPr>
              <w:t xml:space="preserve">: </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03"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4</w:t>
            </w:r>
          </w:p>
        </w:tc>
        <w:tc>
          <w:tcPr>
            <w:tcW w:w="8601"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LO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LOnormal"/>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45" w:type="dxa"/>
            <w:tcBorders>
              <w:top w:val="single" w:sz="4" w:space="0" w:color="000000"/>
              <w:left w:val="single" w:sz="4" w:space="0" w:color="000000"/>
              <w:bottom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LOnormal"/>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LOnormal"/>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LOnormal"/>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suppressAutoHyphens w:val="tru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default="1">
    <w:name w:val="LO-normal"/>
    <w:qFormat/>
    <w:pPr>
      <w:widowControl w:val="false"/>
      <w:suppressAutoHyphens w:val="tru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3</Pages>
  <Words>2156</Words>
  <Characters>12118</Characters>
  <CharactersWithSpaces>14174</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2024-04-26T15:38:33Z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