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pageBreakBefore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drawing>
          <wp:inline distT="0" distB="0" distL="0" distR="0">
            <wp:extent cx="2755900" cy="866140"/>
            <wp:effectExtent l="0" t="0" r="0" b="0"/>
            <wp:docPr id="1" name="Picture 32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22" descr="Texto&#10;&#10;Descrição gerada automaticamente"/>
                    <pic:cNvPicPr>
                      <a:picLocks noChangeAspect="1" noChangeArrowheads="1"/>
                    </pic:cNvPicPr>
                  </pic:nvPicPr>
                  <pic:blipFill>
                    <a:blip r:embed="rId2"/>
                    <a:stretch>
                      <a:fillRect/>
                    </a:stretch>
                  </pic:blipFill>
                  <pic:spPr bwMode="auto">
                    <a:xfrm>
                      <a:off x="0" y="0"/>
                      <a:ext cx="2755900" cy="866140"/>
                    </a:xfrm>
                    <a:prstGeom prst="rect">
                      <a:avLst/>
                    </a:prstGeom>
                  </pic:spPr>
                </pic:pic>
              </a:graphicData>
            </a:graphic>
          </wp:inline>
        </w:drawing>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PROTOCOLO: ______________  MATRÍCULA(S): __________________________________________</w:t>
      </w:r>
    </w:p>
    <w:p>
      <w:pPr>
        <w:pStyle w:val="Normal1"/>
        <w:pageBreakBefore w:val="false"/>
        <w:spacing w:lineRule="auto" w:line="240" w:before="0" w:after="0"/>
        <w:rPr>
          <w:rFonts w:ascii="Times New Roman" w:hAnsi="Times New Roman" w:eastAsia="Times New Roman" w:cs="Times New Roman"/>
          <w:position w:val="0"/>
          <w:sz w:val="20"/>
          <w:sz w:val="20"/>
          <w:szCs w:val="20"/>
          <w:u w:val="single"/>
          <w:vertAlign w:val="baseline"/>
        </w:rPr>
      </w:pPr>
      <w:r>
        <w:rPr>
          <w:rFonts w:eastAsia="Times New Roman" w:cs="Times New Roman" w:ascii="Times New Roman" w:hAnsi="Times New Roman"/>
          <w:position w:val="0"/>
          <w:sz w:val="20"/>
          <w:sz w:val="20"/>
          <w:szCs w:val="20"/>
          <w:u w:val="single"/>
          <w:vertAlign w:val="baseline"/>
        </w:rPr>
      </w:r>
    </w:p>
    <w:p>
      <w:pPr>
        <w:pStyle w:val="Normal1"/>
        <w:pageBreakBefore w:val="false"/>
        <w:spacing w:lineRule="auto" w:line="240" w:before="0" w:after="0"/>
        <w:rPr>
          <w:rFonts w:ascii="Times New Roman" w:hAnsi="Times New Roman" w:eastAsia="Times New Roman" w:cs="Times New Roman"/>
          <w:b/>
          <w:b/>
          <w:sz w:val="24"/>
          <w:szCs w:val="24"/>
          <w:u w:val="single"/>
        </w:rPr>
      </w:pPr>
      <w:r>
        <w:rPr>
          <w:rFonts w:eastAsia="Times New Roman" w:cs="Times New Roman" w:ascii="Times New Roman" w:hAnsi="Times New Roman"/>
          <w:b/>
          <w:position w:val="0"/>
          <w:sz w:val="24"/>
          <w:sz w:val="24"/>
          <w:szCs w:val="24"/>
          <w:u w:val="single"/>
          <w:vertAlign w:val="baseline"/>
        </w:rPr>
        <w:t>USUFRUTO</w:t>
      </w:r>
    </w:p>
    <w:p>
      <w:pPr>
        <w:pStyle w:val="Normal1"/>
        <w:pageBreakBefore w:val="false"/>
        <w:spacing w:lineRule="auto" w:line="240" w:before="0" w:after="0"/>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r>
    </w:p>
    <w:p>
      <w:pPr>
        <w:pStyle w:val="Normal1"/>
        <w:pageBreakBefore w:val="false"/>
        <w:spacing w:lineRule="auto" w:line="240" w:before="0" w:after="0"/>
        <w:rPr>
          <w:rFonts w:ascii="Times New Roman" w:hAnsi="Times New Roman" w:eastAsia="Times New Roman" w:cs="Times New Roman"/>
          <w:position w:val="0"/>
          <w:sz w:val="24"/>
          <w:sz w:val="24"/>
          <w:szCs w:val="24"/>
          <w:u w:val="single"/>
          <w:vertAlign w:val="baseline"/>
        </w:rPr>
      </w:pPr>
      <w:r>
        <w:rPr>
          <w:rFonts w:eastAsia="Times New Roman" w:cs="Times New Roman" w:ascii="Times New Roman" w:hAnsi="Times New Roman"/>
          <w:b/>
          <w:sz w:val="24"/>
          <w:szCs w:val="24"/>
          <w:u w:val="single"/>
        </w:rPr>
        <w:t>ESCRITURA PÚBLICA</w:t>
      </w:r>
    </w:p>
    <w:p>
      <w:pPr>
        <w:pStyle w:val="Normal1"/>
        <w:pageBreakBefore w:val="false"/>
        <w:spacing w:lineRule="auto" w:line="240" w:before="0" w:after="0"/>
        <w:rPr>
          <w:rFonts w:ascii="Times New Roman" w:hAnsi="Times New Roman" w:eastAsia="Times New Roman" w:cs="Times New Roman"/>
          <w:position w:val="0"/>
          <w:sz w:val="28"/>
          <w:sz w:val="28"/>
          <w:szCs w:val="28"/>
          <w:vertAlign w:val="baseline"/>
        </w:rPr>
      </w:pPr>
      <w:r>
        <w:rPr>
          <w:rFonts w:eastAsia="Times New Roman" w:cs="Times New Roman" w:ascii="Times New Roman" w:hAnsi="Times New Roman"/>
          <w:position w:val="0"/>
          <w:sz w:val="28"/>
          <w:sz w:val="28"/>
          <w:szCs w:val="28"/>
          <w:vertAlign w:val="baseline"/>
        </w:rPr>
      </w:r>
    </w:p>
    <w:tbl>
      <w:tblPr>
        <w:tblStyle w:val="Table1"/>
        <w:tblW w:w="10530" w:type="dxa"/>
        <w:jc w:val="left"/>
        <w:tblInd w:w="-108" w:type="dxa"/>
        <w:tblLayout w:type="fixed"/>
        <w:tblCellMar>
          <w:top w:w="0" w:type="dxa"/>
          <w:left w:w="108" w:type="dxa"/>
          <w:bottom w:w="0" w:type="dxa"/>
          <w:right w:w="108" w:type="dxa"/>
        </w:tblCellMar>
        <w:tblLook w:val="0000"/>
      </w:tblPr>
      <w:tblGrid>
        <w:gridCol w:w="465"/>
        <w:gridCol w:w="8741"/>
        <w:gridCol w:w="709"/>
        <w:gridCol w:w="614"/>
      </w:tblGrid>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874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7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Sim</w:t>
            </w:r>
          </w:p>
        </w:tc>
        <w:tc>
          <w:tcPr>
            <w:tcW w:w="61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Não</w:t>
            </w:r>
            <w:bookmarkStart w:id="0" w:name="gjdgxs"/>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bookmarkEnd w:id="0"/>
            <w:r>
              <w:rPr>
                <w:rFonts w:eastAsia="Times New Roman" w:cs="Times New Roman" w:ascii="Times New Roman" w:hAnsi="Times New Roman"/>
                <w:position w:val="0"/>
                <w:sz w:val="20"/>
                <w:sz w:val="20"/>
                <w:szCs w:val="20"/>
                <w:vertAlign w:val="baseline"/>
              </w:rPr>
              <w:t>1</w:t>
            </w:r>
          </w:p>
        </w:tc>
        <w:tc>
          <w:tcPr>
            <w:tcW w:w="874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outra prenotação vinculada às matrículas objetos do presente título?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da prenotação deve ser realizada pelo campo “visualizar pendências do imóvel”, na aba de matrículas, quando da conferência inicial, do registro e da conferência final.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 a resposta for positiva, devemos verificar se os títulos ou procedimentos prenotados impedem a inscrição do ato requerido ou se, não impedindo, qual deve ser inscrito primeiro.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entre as matrículas constantes no título e as matrículas prenotadas no sistema, devemos corrigir a prenotação e anotar a correção manuscritamente no protocolo.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11, 12, 174, 182, 186 e 190 da Lei 6.015/1973 - Lei de Registros Públicos - LRP.</w:t>
            </w:r>
          </w:p>
        </w:tc>
        <w:tc>
          <w:tcPr>
            <w:tcW w:w="7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940" w:hRule="atLeast"/>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2</w:t>
            </w:r>
          </w:p>
        </w:tc>
        <w:tc>
          <w:tcPr>
            <w:tcW w:w="874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apresentado o título hábil para inscrição?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O usufruto é um direito real sobre coisa alheia, que confere ao usufrutuário a posse, o uso, a administração e a percepção dos frutos (rendas) do imóvel.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1.225, inciso IV, e 1.394 do Código Civil - CC.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highlight w:val="white"/>
              </w:rPr>
              <w:t>A escritura pública é essencial à validade dos negócios jurídicos que visem à constituição, transferência, modificação ou renúncia de direitos reais sobre imóveis de valor superior a trinta vezes o maior salário mínimo vigente no País.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108 do CC.</w:t>
            </w:r>
          </w:p>
        </w:tc>
        <w:tc>
          <w:tcPr>
            <w:tcW w:w="7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3</w:t>
            </w:r>
          </w:p>
        </w:tc>
        <w:tc>
          <w:tcPr>
            <w:tcW w:w="874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conferida a autenticidade do título apresentado?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título físico, assinado manuscritamente, pode ser apresentada por meio do protocolo presencial, na via original ou em cópia autenticada, ou por meio do Serviço de Atendimento Eletrônico Compartilhado - SAEC, com cópia digitalizada, desde que seja possível conferir a autenticidade por meio do selo de fiscalização ou da plataforma do e-Notariado.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título seja digital, serão admitidas assinaturas eletrônicas qualificadas, com uso de certificado emitido com os requisitos da Infraestrutura de Chaves Públicas Brasileira - ICP-Brasil, ou avançadas, por meio do e-Notariado.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 conferência da autenticidade pode ser realizada por meio: (a) do selo digital de fiscalização, quando o Tribunal de Justiça dispuser de plataforma que contenha informações suficientes para vinculação do ato; (b) da plataforma do e-Notariado, se o instrumento permitir; ou (c) de </w:t>
            </w:r>
            <w:r>
              <w:rPr>
                <w:rFonts w:eastAsia="Times New Roman" w:cs="Times New Roman" w:ascii="Times New Roman" w:hAnsi="Times New Roman"/>
                <w:i/>
                <w:sz w:val="20"/>
                <w:szCs w:val="20"/>
              </w:rPr>
              <w:t>e-mail</w:t>
            </w:r>
            <w:r>
              <w:rPr>
                <w:rFonts w:eastAsia="Times New Roman" w:cs="Times New Roman" w:ascii="Times New Roman" w:hAnsi="Times New Roman"/>
                <w:sz w:val="20"/>
                <w:szCs w:val="20"/>
              </w:rPr>
              <w:t xml:space="preserve"> ou ligação telefônica reduzida a termo, pelos contatos disponíveis no cadastro da serventia no CNJ.   </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A autenticidade do ato só é garantida depois do recebimento dos dados pelo Poder Judiciário.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308, 355, parágrafo 1º, 762, 809 e 815 do Código de Normas da Corregedoria-Geral da Justiça do Estado de Santa Catarina - CNCGFE/SC.</w:t>
            </w:r>
          </w:p>
        </w:tc>
        <w:tc>
          <w:tcPr>
            <w:tcW w:w="7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4</w:t>
            </w:r>
          </w:p>
        </w:tc>
        <w:tc>
          <w:tcPr>
            <w:tcW w:w="874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qualificação dos outorgantes (transmitentes)?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elementos mínimos para qualificação das pessoas físicas são: nome, nacionalidade, CPF, estado civil e endereço e para as pessoas jurídicas: denominação social, CNPJ, sede e representantes.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Sendo casado ou convivente em união estável, deve constar a qualificação completa do cônjuge ou companheiro, bem como o regime de bens e a data em que foi constituído ou se foi antes ou depois da Lei 6.515/1977.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É dispensável a qualificação completa do cônjuge ou companheiro quando pactuado o regime da separação absoluta de bens, bastando a indicação do nome do cônjuge ou companheiro.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Não havendo declaração de convivência em união estável, devemos presumir a sua ausência.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parágrafo 1º, inciso III, item 2, alíneas “a” e “b”, da LRP e artigo 706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pacto antenupcial ou o instrumento de constituição de união estável em que tenha sido pactuado regime de bens diverso do legal, deve ser registrado no Livro 3/RA e averbado em todas as matrículas em que os cônjuges ou companheiros sejam detentores de direito real.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o pacto antenupcial ou o instrumento de união estável já esteja registrado, deve constar no título menção ao respectivo registro. Se não estiver registrado, o pacto deverá ser registrado no Registro de Imóveis competente pela circunscrição do domicílio dos cônjuges e o instrumento de união estável poderá ser registrado, a requerimento da parte, nesta serventia.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Na ausência de informação sobre o regime de bens adotado para a união estável, devemos presumir o regime legal da comunhão parcial.</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Nas matrículas em que o registro no Livro 3/RA tenha sido mencionado na qualificação das partes, não precisamos realizar uma averbação apartada antes de registrar o título.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244 da LRP e artigos 707 e 729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os outorgantes forem casados ou conviverem em regime de união estável, é necessária a autorização do cônjuge ou companheiro para a transferência do imóvel, salvo se for adotado o regime da separação de bens ou se, adotado o regime da participação final nos aquestos, houver estipulação expressa no pacto antenupcial ou no instrumento de união estável sobre a livre disposição do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1.647, inciso I, 1.656 e 1.687 do CC.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compra e venda entre cônjuges só será lícita com relação aos imóveis excluídos da comunhão.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499 do CC.</w:t>
            </w:r>
          </w:p>
        </w:tc>
        <w:tc>
          <w:tcPr>
            <w:tcW w:w="7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5</w:t>
            </w:r>
          </w:p>
        </w:tc>
        <w:tc>
          <w:tcPr>
            <w:tcW w:w="874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Deve ser efetuada alguma averbação referente à qualificação dos outorgantes (retificação de dados de qualificação, casamento, separação, divórcio, alteração da razão social, dissolução de união estável, etc.)?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averbação de retificação pode ser realizada com base no próprio título, quando os dados necessários constarem expressamente.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averbação pode ser realizada ainda por meio de requerimento, acompanhado dos documentos competentes, apresentados em protocolo separado.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167, inciso II e 176, parágrafo 1º, inciso II, item 4, inciso III, item 2, e 213, inciso I, alínea “g”, da LRP e artigo 713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subjetiva ausentes ou insuficientes, ou sua modificação, será objeto de ato único por pessoa ou casal, ainda que faça referência a vários elementos, excetuadas as hipóteses de títulos diversos, que devem ter prenotações distintas</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706, parágrafo 6º, e 713, parágrafos 8º e 9º, do CNCGFE/SC.</w:t>
            </w:r>
          </w:p>
        </w:tc>
        <w:tc>
          <w:tcPr>
            <w:tcW w:w="7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6</w:t>
            </w:r>
          </w:p>
        </w:tc>
        <w:tc>
          <w:tcPr>
            <w:tcW w:w="874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qualificação dos outorgados (adquirentes)?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elementos mínimos para qualificação das pessoas físicas são: nome, nacionalidade, CPF, estado civil e endereço e para as pessoas jurídicas: denominação social, CNPJ, sede e representantes.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Sendo casado ou convivente em união estável, deve constar a qualificação completa do cônjuge ou companheiro, bem como o regime de bens e a data em que foi constituído ou se foi antes ou depois da Lei 6.515/1977.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É dispensável a qualificação completa do cônjuge ou companheiro quando pactuado o regime da separação absoluta de bens, bastando a indicação do nome do cônjuge ou companheiro.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Não havendo declaração de convivência em união estável, devemos presumir a sua ausência.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parágrafo 1º, inciso III, item 2, alíneas “a” e “b”, da LRP e artigo 706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o pacto antenupcial ou o instrumento de união estável já esteja registrado, deve constar no título menção ao respectivo registro. Se não estiver registrado, o pacto deverá ser registrado no Registro de Imóveis competente pela circunscrição do domicílio dos cônjuges e o instrumento de união estável poderá ser registrado, a requerimento da parte, nesta serventia.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Nas hipóteses acima, devemos realizar uma averbação autônoma, após o registro do título, para publicizar o registro da convenção no Livro 3/RA.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Na ausência de informação sobre o regime de bens adotado para a união estável, devemos presumir o regime legal da comunhão parcial.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244 da LRP e artigos 707 e 729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Nas hipóteses de aquisição de imóvel com numerário pertencente a menor de idade, devemos conferir se no título consta o alvará judicial.</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821 do CNCGFE/SC.</w:t>
            </w:r>
          </w:p>
        </w:tc>
        <w:tc>
          <w:tcPr>
            <w:tcW w:w="7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7</w:t>
            </w:r>
          </w:p>
        </w:tc>
        <w:tc>
          <w:tcPr>
            <w:tcW w:w="874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qualificação dos imóveis?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os imóveis tenham matrículas próprias, pode ser consignado no título somente a localização completa e o número da matrícula, não havendo necessidade da transcrição completa da descrição.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2º, parágrafo 1º, da Lei 7.433/1985 e artigo 222 da LRP.</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não houver edificação no terreno, é necessário constar o nome do logradouro, a expressão “s/nº”, se o imóvel fica no lado par ou ímpar do logradouro e a indicação: (a) da distância da esquina ou edificação mais próxima; ou (b) da numeração predial de imóvel confrontante, complementando, ainda, se este fica do lado direito ou esquerdo.</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176, parágrafo 1º, inciso II, item 3, alíneas “a” e “b”, e 225 da LRP.</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no título indícios da existência de parcelamento de solo clandestino, devemos encaminhar Ofício para o Ministério Público, com cópia da documentação apresentada.</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1.038 do CNCGFE/SC.</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a descrição da matrícula for omissa em relação às medidas perimetrais e/ou área total, é recomendável a realização do procedimento de retificação de área, previsto nos artigos 212 e 213 da LRP. Todavia, quando não houver dúvida sobre a identificação do imóvel e o mesmo for alienado ou onerado integralmente, fica facultado ao interessado requerer que seja realizada a inscrição do título sem a especialização do imóvel, ficando ciente de que a retificação de área será exigida caso seja necessário inscrever algum ato em que a conferência dos elementos de qualificação do imóvel seja imprescindível, como por exemplo: atingimento do sistema viário, unificação, parcelamento do solo, incorporação imobiliária, instituição de condomínio, etc. </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Decisão proferida em 05/02/2018 no Processo SAE 11278-LAUNSO, pelo Juiz - Diretor do Foro da Comarca da Capital/SC.   </w:t>
            </w:r>
          </w:p>
        </w:tc>
        <w:tc>
          <w:tcPr>
            <w:tcW w:w="7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8</w:t>
            </w:r>
          </w:p>
        </w:tc>
        <w:tc>
          <w:tcPr>
            <w:tcW w:w="874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Os imóveis são urbanos?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Nos casos de imóveis rurais, a matrícula deve conter os dados: (a) do Certificado de Cadastro do Imóvel Rural - CCIR; (b) do Cadastro Ambiental Rural - CAR; e (c) quando tratar-se de imóvel com área igual ou superior a 250.000,00m², das coordenadas georreferenciadas, certificada pelo INCRA.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título deve conter a Certidão Negativa de Débitos Relativos ao Imposto sobre a Propriedade Territorial Rural - CND-ITR ou a declaração de dispensa dos outorgados.</w:t>
            </w:r>
          </w:p>
          <w:p>
            <w:pPr>
              <w:pStyle w:val="Normal1"/>
              <w:widowControl w:val="fals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Se constar na matrícula que o imóvel é rural, porém não possuir tal destinação, o interessado deverá promover o procedimento de transformação de imóvel rural para urbano.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inciso II, item 3, alínea “a”, da LRP, artigos 12, 18 e 19 da Lei 12.651/2012, artigos 4º, inciso I, e 65 da Lei 4.504/1964, artigo 15 do Decreto-Lei 57/1966, artigo 21 da Lei 9.393/1996, artigo 8º da Lei 5.868/1972 e artigos 701, parágrafo 3º, inciso I, 802 e 803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Nos casos de imóveis de marinha, deve constar na matrícula e no título o número do Registro Imobiliário Patrimonial - RIP.</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1º e 2º do Decreto-Lei 9.760/1946, artigos 1º e 2º da Lei 9.636/1998, artigos 3º e 3º-A do Decreto 2.398/1987.</w:t>
            </w:r>
          </w:p>
        </w:tc>
        <w:tc>
          <w:tcPr>
            <w:tcW w:w="7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9</w:t>
            </w:r>
          </w:p>
        </w:tc>
        <w:tc>
          <w:tcPr>
            <w:tcW w:w="874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Deve ser efetuada alguma inscrição referente ao imóvel (inscrição imobiliária, logradouro, construção, desmembramento, incorporação imobiliária, unificação, CAR, etc.)?</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Algumas averbações, como a inscrição imobiliária e o logradouro, podem ser realizadas com base no próprio título, desde que os dados necessários constem expressamente no mesmo. No entanto, os demais atos devem ser realizados por meio de protocolo apartado, no qual devem ser apresentados o requerimento e os documentos competentes.</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176, parágrafo 1º, inciso II, item 3, alíneas “a” e “b”, 212, 213 e 225, todos da LRP.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objetiva ausentes ou insuficientes, ou sua modificação, será objeto de ato único, ainda que faça referência a vários elementos, excetuadas a averbação de retificação de área e as hipóteses de títulos diversos, que devem ter prenotações distintas.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701, parágrafo 2º,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Devemos verificar se o título ou a matrícula contêm elementos que indiquem a existência de uma edificação ainda não averbada. Este procedimento é necessário, uma vez que a averbação da edificação é um requisito indispensável para registro do título. Se a edificação em questão não possuir </w:t>
            </w:r>
            <w:r>
              <w:rPr>
                <w:rFonts w:eastAsia="Times New Roman" w:cs="Times New Roman" w:ascii="Times New Roman" w:hAnsi="Times New Roman"/>
                <w:i/>
                <w:sz w:val="20"/>
                <w:szCs w:val="20"/>
              </w:rPr>
              <w:t>habite-se</w:t>
            </w:r>
            <w:r>
              <w:rPr>
                <w:rFonts w:eastAsia="Times New Roman" w:cs="Times New Roman" w:ascii="Times New Roman" w:hAnsi="Times New Roman"/>
                <w:sz w:val="20"/>
                <w:szCs w:val="20"/>
              </w:rPr>
              <w:t xml:space="preserve"> ou, mesmo que possua, sua averbação não for possível devido à dependência de outro procedimento, como usucapião, unificação, desmembramento, etc., um dos outorgados no negócio jurídico pode declarar tal circunstância e requerer a cindibilidade do título. Mediante o pedido de cindibilidade, devemos proceder ao registro do título e à averbação para informar sobre a necessidade de regularização da situação da edificação. </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798 do CNCGFE/SC. </w:t>
            </w:r>
          </w:p>
        </w:tc>
        <w:tc>
          <w:tcPr>
            <w:tcW w:w="7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0</w:t>
            </w:r>
          </w:p>
        </w:tc>
        <w:tc>
          <w:tcPr>
            <w:tcW w:w="874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o valor atribuído para a constituição do direito real de usufruto?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Havendo mais de um imóvel, devem constar os valores de forma individualizada.</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O valor do negócio jurídico deve ser atribuído independentemente da constituição ser onerosa ou gratuita.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artigos 14 e 176, inciso III, 5, da LRP, artigo 6º da Lei Complementar 755/2019 e artigo 1.370 do CC. </w:t>
            </w:r>
          </w:p>
        </w:tc>
        <w:tc>
          <w:tcPr>
            <w:tcW w:w="7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1</w:t>
            </w:r>
          </w:p>
        </w:tc>
        <w:tc>
          <w:tcPr>
            <w:tcW w:w="874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Os valores declarados pelas partes, para o negócio jurídico e/ou para fins de lançamento fiscal, apresentam dissonância com o valor de mercado do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o valor declarado atingir o teto dos emolumentos, não devemos realizar nenhuma providência, mas quando não atingir, podemos utilizar como parâmetros, para encontrar o valor de mercado, os valores das transações anteriores constantes da mesma matrícula, atualizados monetariamente, os valores de transações atuais constantes nas matrículas de unidades similares, no mesmo empreendimento, </w:t>
            </w:r>
            <w:r>
              <w:rPr>
                <w:rFonts w:eastAsia="Times New Roman" w:cs="Times New Roman" w:ascii="Times New Roman" w:hAnsi="Times New Roman"/>
                <w:i/>
                <w:sz w:val="20"/>
                <w:szCs w:val="20"/>
              </w:rPr>
              <w:t>sites</w:t>
            </w:r>
            <w:r>
              <w:rPr>
                <w:rFonts w:eastAsia="Times New Roman" w:cs="Times New Roman" w:ascii="Times New Roman" w:hAnsi="Times New Roman"/>
                <w:sz w:val="20"/>
                <w:szCs w:val="20"/>
              </w:rPr>
              <w:t xml:space="preserve"> de compra e venda de imóveis ou de imobiliárias, tabela FIPE, valor de avaliação fiscal, entre outros.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Encontrado valor de mercado acima do valor declarado, devemos solicitar declaração de valor de mercado, indicando qual o parâmetro utilizado para impugnação, bem como a complementação dos custos de registro.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O valor de mercado servirá, exclusivamente, como base de cálculo dos emolumentos, FRJ e ISS, não sendo necessária a complementação de outros tributos incidentes sobre o ato. </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320 do CNCGFE/SC e artigo 6º, parágrafo 3º,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necessária a apresentação de declaração apartada, esta poderá ser assinada por qualquer um dos outorgados. Caso seja assinada manuscritamente deve conter o reconhecimento de firma e caso seja assinada digitalmente, serão admitidas assinaturas eletrônicas qualificadas, com uso de certificado emitido com os requisitos da Infraestrutura de Chaves Públicas Brasileira (ICP-Brasil), ou avançadas, por meio da plataforma do Gov.br.</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221, inciso II, da Lei 6.015/1973 e artigo 762 do CNCGFE/SC. </w:t>
            </w:r>
          </w:p>
        </w:tc>
        <w:tc>
          <w:tcPr>
            <w:tcW w:w="7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2</w:t>
            </w:r>
          </w:p>
        </w:tc>
        <w:tc>
          <w:tcPr>
            <w:tcW w:w="8741" w:type="dxa"/>
            <w:tcBorders>
              <w:top w:val="single" w:sz="4" w:space="0" w:color="000000"/>
              <w:left w:val="single" w:sz="4" w:space="0" w:color="000000"/>
              <w:bottom w:val="single" w:sz="4" w:space="0" w:color="000000"/>
              <w:right w:val="single" w:sz="4" w:space="0" w:color="000000"/>
            </w:tcBorders>
          </w:tcPr>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apresentação da certidão negativa de débitos federais relativa ao outorgante?</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regularidade fiscal perante a Fazenda Nacional será comprovada por meio da certidão negativa expedida conjuntamente pela Receita Federal e pela Procuradoria-Geral da Fazenda Nacional, referente a todos os créditos tributários federais e à dívida ativa da União.</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É possível a dispensa da certidão, mediante declaração do: (a) outorgante, quando for pessoa física que não exerce qualquer atividade que o equipare à pessoa jurídica, não estando, portanto, sujeito às contribuições sociais; e (b) outorgante, acompanhada dos documentos societários para comprovação do objeto social, quando a empresa outorgante explorar, exclusivamente, atividades de compra e venda, locação, desmembramento, loteamento, incorporação imobiliária ou construção de imóveis destinados à venda, contanto que os imóveis objetos da transação estejam contabilmente lançados no seu ativo circulante e não tenham constado, em seu ativo permanente.</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não conste a apresentação da certidão ou da declaração de dispensa, o título poderá ser retificado para consigná-la ou poderá ser apresentada em documento apartado. Na hipótese de apresentação apartada da declaração mencionada no item b, deverão ser apresentados, também, os documentos societários para comprovação do objeto social.</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47, inciso I, alínea “b”, da Lei 8.212/1991, artigo 780, parágrafo único, do CN/CG-Extra e artigos 1º e 17 da Portaria Conjunta RFB-PGFN 1.751/2014.</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declaração seja física e apresentada apartada, deve conter o reconhecimento de firma e quando tratar-se de documento digital, serão admitidas assinaturas eletrônicas qualificadas, com uso de certificado emitido com os requisitos da Infraestrutura de Chaves Públicas Brasileira (ICP-Brasil), ou avançadas, por meio do “</w:t>
            </w:r>
            <w:r>
              <w:rPr>
                <w:rFonts w:eastAsia="Times New Roman" w:cs="Times New Roman" w:ascii="Times New Roman" w:hAnsi="Times New Roman"/>
                <w:i/>
                <w:sz w:val="20"/>
                <w:szCs w:val="20"/>
              </w:rPr>
              <w:t>e</w:t>
            </w:r>
            <w:r>
              <w:rPr>
                <w:rFonts w:eastAsia="Times New Roman" w:cs="Times New Roman" w:ascii="Times New Roman" w:hAnsi="Times New Roman"/>
                <w:sz w:val="20"/>
                <w:szCs w:val="20"/>
              </w:rPr>
              <w:t>-Notariado” ou do “Portal Gov.br”.</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221, inciso II, da LRP e artigo 762 do CNCGFE/SC.</w:t>
            </w:r>
          </w:p>
        </w:tc>
        <w:tc>
          <w:tcPr>
            <w:tcW w:w="7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620" w:hRule="atLeast"/>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13</w:t>
            </w:r>
          </w:p>
        </w:tc>
        <w:tc>
          <w:tcPr>
            <w:tcW w:w="874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apresentação das certidões de ônus reais e de ações reais e pessoais reipersecutórias incidentes sobre 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É possível, ainda, que o título seja lavrado apenas com a apresentação da certidão de inteiro teor da matrícula, mas deverá constar no título certificação quanto à existência ou inexistência de ônus reais e de ações reais e pessoais reipersecutórias. </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não conste no título a apresentação das certidões de ônus e ações ou da certidão de inteiro teor acompanhada da certificação, o título poderá ser retificado para consigná-las ou poderão ser apresentadas apartadas.</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certidão da situação jurídica atualizada do imóvel não substitui as certidões mencionadas acima.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1º, parágrafo 2º, da Lei 7.433/1985, artigo 1º, inciso IV, do Decreto 93.240/1986 e artigo 770 do CNCGFE/SC. </w:t>
            </w:r>
          </w:p>
        </w:tc>
        <w:tc>
          <w:tcPr>
            <w:tcW w:w="7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14</w:t>
            </w:r>
          </w:p>
        </w:tc>
        <w:tc>
          <w:tcPr>
            <w:tcW w:w="874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Caso os imóveis sejam unidades autônomas, consta no título a apresentação da prova de quitação dos débitos condominiais ou a declaração de dispensa?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quitação pode ser comprovada mediante declaração do outorgante, do síndico ou da administradora do condomínio. Ademais, o outorgado pode dispensar a apresentação da comprovação de quitação ou da declaração do outorgante, assumindo eventual dívida existente.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não conste no título, o mesmo poderá ser retificado ou a comprovação da quitação ou a declaração de dispensa pode ser apresentada apartada.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a quitação seja apartada e declarada: (a) pelo síndico, deve ser apresentada a ata de assembleia em que este foi eleito; e (b) pela administradora do condomínio, deve ser apresentada a ata de assembleia em que esta foi eleita, assim como os documentos societários da administradora para conferência da representação.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declaração seja física, assinada manuscritamente, deve conter o reconhecimento de firma. Caso seja digital, serão admitidas assinaturas eletrônicas qualificadas, com uso de certificado emitido com os requisitos da Infraestrutura de Chaves Públicas Brasileira (ICP-Brasil), ou avançadas, por meio do “Portal Gov.br”.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Não é necessária a prova de quitação nas transferências de unidades autônomas em fase de incorporação imobiliária.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4º, parágrafo único, da Lei 4.591/1964, artigo 221, inciso II, da LRP e artigos 762 e 813 do CNCGFE/SC.</w:t>
            </w:r>
          </w:p>
        </w:tc>
        <w:tc>
          <w:tcPr>
            <w:tcW w:w="7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15</w:t>
            </w:r>
          </w:p>
        </w:tc>
        <w:tc>
          <w:tcPr>
            <w:tcW w:w="874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Sobre os imóveis incide algum ônus ou ação judicial?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algum ônus ou ação não impeditivo de alienação (ex: hipoteca e penhora comuns, servidão, etc.), os outorgados devem declarar ciência.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1º da LRP e artigo 1º da Lei 8.935/1994.</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 houver algum ônus ou ação impeditivo de alienação (ex: alienação fiduciária, hipoteca cedular, hipoteca em favor do SFH, penhora da União Federal ou de suas autarquias e fundações, promessa de alienação em favor de terceiro, indisponibilidade, etc.), o interessado pode promover o cancelamento do gravame ou apresentar uma autorização do instituidor, quando possível.</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22 da Lei 9.514/1997 e artigo 1.368-B do CC (alienação fiduciária); artigo 59 do Decreto-Lei 167/1967, artigo 51 do Decreto-Lei 413/1969, artigo 3º da Lei 6.313/1975, artigo 5º da Lei 6.840/1980 e artigos 30 e 34, parágrafo 2º da Lei 10.931/2004 (hipotecas cedulares); artigo 1º, parágrafo único da Lei 8.004/1990 e artigo 292 da LRP (hipoteca do SFH); artigo 53, parágrafo 1º da Lei 8.212/1991 (penhora da União e suas autarquias e fundações); artigos 1.417 e 1.418 do CC (promessa de compra e venda); e Provimento 39/2014 do CNJ (indisponibilidade). </w:t>
            </w:r>
          </w:p>
        </w:tc>
        <w:tc>
          <w:tcPr>
            <w:tcW w:w="7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16</w:t>
            </w:r>
          </w:p>
        </w:tc>
        <w:tc>
          <w:tcPr>
            <w:tcW w:w="874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 xml:space="preserve">Consta no título o recolhimento, se a constituição for onerosa, do Imposto sobre a Transmissão Onerosa de Bens Imóveis por Ato </w:t>
            </w:r>
            <w:r>
              <w:rPr>
                <w:rFonts w:eastAsia="Times New Roman" w:cs="Times New Roman" w:ascii="Times New Roman" w:hAnsi="Times New Roman"/>
                <w:b/>
                <w:i/>
                <w:sz w:val="20"/>
                <w:szCs w:val="20"/>
                <w:u w:val="single"/>
              </w:rPr>
              <w:t xml:space="preserve">Inter Vivos </w:t>
            </w:r>
            <w:r>
              <w:rPr>
                <w:rFonts w:eastAsia="Times New Roman" w:cs="Times New Roman" w:ascii="Times New Roman" w:hAnsi="Times New Roman"/>
                <w:b/>
                <w:sz w:val="20"/>
                <w:szCs w:val="20"/>
                <w:u w:val="single"/>
              </w:rPr>
              <w:t xml:space="preserve">(ITBI) ou, se gratuita, do Imposto de Transmissão </w:t>
            </w:r>
            <w:r>
              <w:rPr>
                <w:rFonts w:eastAsia="Times New Roman" w:cs="Times New Roman" w:ascii="Times New Roman" w:hAnsi="Times New Roman"/>
                <w:b/>
                <w:i/>
                <w:sz w:val="20"/>
                <w:szCs w:val="20"/>
                <w:u w:val="single"/>
              </w:rPr>
              <w:t>Causa Mortis</w:t>
            </w:r>
            <w:r>
              <w:rPr>
                <w:rFonts w:eastAsia="Times New Roman" w:cs="Times New Roman" w:ascii="Times New Roman" w:hAnsi="Times New Roman"/>
                <w:b/>
                <w:sz w:val="20"/>
                <w:szCs w:val="20"/>
                <w:u w:val="single"/>
              </w:rPr>
              <w:t xml:space="preserve"> e Doação (ITCMD)?</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Caso o ITCMD tenha sido parcelado, o registro poderá ser realizado somente após a comprovação da quitação integral do parcelamento.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812 do CNCGFE/SC, artigo 289 da LRP, artigo 30, inciso XI, da Lei 8.935/1994, artigos 278, inciso II, 281 e 281-A, inciso I, do Código Tributário do Município de Florianópolis/SC e artigos 12, parágrafo único, da Lei 13.136/2004.</w:t>
            </w:r>
          </w:p>
        </w:tc>
        <w:tc>
          <w:tcPr>
            <w:tcW w:w="7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17</w:t>
            </w:r>
          </w:p>
        </w:tc>
        <w:tc>
          <w:tcPr>
            <w:tcW w:w="874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 xml:space="preserve">Os custos foram recolhidos corretamente?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14 da LRP e artigo 4º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custos serão formados pelos emolumentos, acrescidos dos valores relativos ao Fundo do Reaparelhamento da Justiça - FRJ, ao Imposto Sobre Serviços - ISS e à taxa de cartão, se houver.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Fundamento: artigo 12, parágrafo 4º, da Lei Complementar 755/2019 </w:t>
            </w:r>
            <w:r>
              <w:rPr>
                <w:rFonts w:eastAsia="Times New Roman" w:cs="Times New Roman" w:ascii="Times New Roman" w:hAnsi="Times New Roman"/>
                <w:sz w:val="20"/>
                <w:szCs w:val="20"/>
              </w:rPr>
              <w:t>e</w:t>
            </w:r>
            <w:r>
              <w:rPr>
                <w:rFonts w:eastAsia="Times New Roman" w:cs="Times New Roman" w:ascii="Times New Roman" w:hAnsi="Times New Roman"/>
                <w:sz w:val="20"/>
                <w:szCs w:val="20"/>
              </w:rPr>
              <w:t xml:space="preserve"> artigo 22 da Lei Complementar 807/2022.</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rPr>
              <w:t>- Os emolumentos serão de: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Registro (com valor)</w:t>
            </w:r>
            <w:r>
              <w:rPr>
                <w:rFonts w:eastAsia="Times New Roman" w:cs="Times New Roman" w:ascii="Times New Roman" w:hAnsi="Times New Roman"/>
                <w:sz w:val="20"/>
                <w:szCs w:val="20"/>
              </w:rPr>
              <w:t>: Serão devidos os emolumentos correspondentes aos valores constantes no item 2.2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65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Base de Cálculo</w:t>
            </w:r>
            <w:r>
              <w:rPr>
                <w:rFonts w:eastAsia="Times New Roman" w:cs="Times New Roman" w:ascii="Times New Roman" w:hAnsi="Times New Roman"/>
                <w:sz w:val="20"/>
                <w:szCs w:val="20"/>
              </w:rPr>
              <w:t xml:space="preserve">: A base de cálculo deve ser o maior valor entre o valor declarado para o negócio, o valor venal atribuído para fins de cobrança do imposto de transmissão e o valor real ou de mercado.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6º da Lei Complementar 755/2019 c/c artigo 320 do CNCGJ/SC.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Unidades Acessórias</w:t>
            </w:r>
            <w:r>
              <w:rPr>
                <w:rFonts w:eastAsia="Times New Roman" w:cs="Times New Roman" w:ascii="Times New Roman" w:hAnsi="Times New Roman"/>
                <w:sz w:val="20"/>
                <w:szCs w:val="20"/>
              </w:rPr>
              <w:t>: Nos registros de negócio jurídico, com as mesmas partes e que envolvam unidades autônomas principais (apartamento, sala, loja, etc.) e unidades autônomas “acessórias” (vaga, hobby-box, etc.) devem ser cobrados emolumentos integrais pelo imóvel de maior valor e 2/3 (redução de 1/3) dos emolumentos previstos na tabela para as unidades autônomas “acessórias”.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66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Cancelamento de Protocolo</w:t>
            </w:r>
            <w:r>
              <w:rPr>
                <w:rFonts w:eastAsia="Times New Roman" w:cs="Times New Roman" w:ascii="Times New Roman" w:hAnsi="Times New Roman"/>
                <w:sz w:val="20"/>
                <w:szCs w:val="20"/>
              </w:rPr>
              <w:t>: Ocorrendo o cancelamento do protocolo depois da qualificação registral, a requerimento do interessado ou em razão do simples decurso do prazo de prenotação (artigo 205 da LRP), sem o cumprimento das exigências formuladas, serão devidos os emolumentos relativos ao cancelamento de protocolo.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item 8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FRJ incidirá à razão de 22,73%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3º-A da Lei 8.067/1990.</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ISS incidirá à razão de 5%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36 da Lei Municipal 3003/2011.</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na cotação, devemos alterar os emolumentos no sistema, na aba “custas” e no campo “serviços cadastrados”, e no protocolo impresso, manuscritamente.</w:t>
            </w:r>
          </w:p>
        </w:tc>
        <w:tc>
          <w:tcPr>
            <w:tcW w:w="7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18</w:t>
            </w:r>
          </w:p>
        </w:tc>
        <w:tc>
          <w:tcPr>
            <w:tcW w:w="874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título foi qualificado positivamente?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Não deverão constar no ato registral outros elementos de qualificação, como dados dos representantes, procuradores, avalistas, fiadores e outros que digam respeito a elementos não essenciais do negócio jurídico, salvo quando envolver incapazes.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Nos casos em que a qualificação subjetiva já consta de ato anterior praticado na mesma matrícula, podemos mencionar que se trata de pessoa já qualificada.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706, parágrafos 4º e 5º,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Antes da inscrição, devemos cadastrar o ato para a emissão da Declaração sobre Operações Imobiliárias (DOI).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2º da Instrução Normativa RFB 1.112/2010.</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imóvel seja de marinha, devemos cadastrar o ato, também, para a emissão da Declaração sobre Operações Imobiliárias de Terrenos da União (DOITU).</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3º-A do Decreto-Lei 2.398/1987 e artigo 2º da Portaria SPU/ME 24.218/2020.</w:t>
            </w:r>
          </w:p>
        </w:tc>
        <w:tc>
          <w:tcPr>
            <w:tcW w:w="7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19</w:t>
            </w:r>
          </w:p>
        </w:tc>
        <w:tc>
          <w:tcPr>
            <w:tcW w:w="874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título foi qualificado negativamente?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dos documentos deve ser exaustiva e a nota de exigência formulada com a exposição clara e objetiva dos fundamentos da recusa.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protocolo deve ser “qualificado negativamente” no sistema e encaminhado para a digitalização.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Após o cumprimento das exigências, com base em novas informações e/ou novos documentos, poderá ser formulada nova nota de exigência.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198 da LRP e artigo 189 do CNCGFE/SC.</w:t>
            </w:r>
          </w:p>
        </w:tc>
        <w:tc>
          <w:tcPr>
            <w:tcW w:w="70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bl>
    <w:p>
      <w:pPr>
        <w:pStyle w:val="Normal1"/>
        <w:pageBreakBefore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b/>
          <w:sz w:val="20"/>
          <w:szCs w:val="20"/>
        </w:rPr>
        <w:t>Declaro que preenchi o presente roteiro de conferência após analisar o(s) documento(s) apresentado(s) e a(s) matrícula(s) prenotada(s), responsabilizando-me pelas informações inseridas.</w:t>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Conferência inicial</w:t>
      </w:r>
      <w:r>
        <w:rPr>
          <w:rFonts w:eastAsia="Times New Roman" w:cs="Times New Roman" w:ascii="Times New Roman" w:hAnsi="Times New Roman"/>
          <w:sz w:val="20"/>
          <w:szCs w:val="20"/>
        </w:rPr>
        <w:t>: Data: ____/____/_____. Nome: _____________________. Assinatura: ____________________</w:t>
      </w:r>
    </w:p>
    <w:sectPr>
      <w:type w:val="nextPage"/>
      <w:pgSz w:w="11906" w:h="16838"/>
      <w:pgMar w:left="1134" w:right="1134" w:gutter="0" w:header="0" w:top="567" w:footer="0" w:bottom="709"/>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name w:val="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Normal1" w:default="1">
    <w:name w:val="LO-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5</TotalTime>
  <Application>LibreOffice/7.4.2.3$Windows_X86_64 LibreOffice_project/382eef1f22670f7f4118c8c2dd222ec7ad009daf</Application>
  <AppVersion>15.0000</AppVersion>
  <Pages>5</Pages>
  <Words>3820</Words>
  <Characters>20885</Characters>
  <CharactersWithSpaces>24566</CharactersWithSpaces>
  <Paragraphs>168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2024-04-26T15:29:32Z</dcterms:modified>
  <cp:revision>1</cp:revision>
  <dc:subject/>
  <dc:title/>
</cp:coreProperties>
</file>